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B3" w:rsidRPr="00F60401" w:rsidRDefault="005C1622" w:rsidP="005C1622">
      <w:pPr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 xml:space="preserve">Зауваження до </w:t>
      </w:r>
      <w:bookmarkStart w:id="0" w:name="_GoBack"/>
      <w:r w:rsidR="00C54E18" w:rsidRPr="00F60401">
        <w:rPr>
          <w:rFonts w:ascii="Arial Narrow" w:hAnsi="Arial Narrow"/>
          <w:b/>
          <w:sz w:val="24"/>
          <w:szCs w:val="24"/>
          <w:lang w:val="uk-UA"/>
        </w:rPr>
        <w:t xml:space="preserve">проекту постанови Кабінету Міністрів України «Про </w:t>
      </w:r>
      <w:r w:rsidR="00491D78" w:rsidRPr="00F60401">
        <w:rPr>
          <w:rFonts w:ascii="Arial Narrow" w:hAnsi="Arial Narrow"/>
          <w:b/>
          <w:sz w:val="24"/>
          <w:szCs w:val="24"/>
          <w:lang w:val="uk-UA"/>
        </w:rPr>
        <w:t xml:space="preserve">затвердження критеріїв, за якими оцінюється ступінь ризику від провадження господарської діяльності </w:t>
      </w:r>
      <w:r w:rsidR="00D52226" w:rsidRPr="00F60401">
        <w:rPr>
          <w:rFonts w:ascii="Arial Narrow" w:hAnsi="Arial Narrow"/>
          <w:b/>
          <w:sz w:val="24"/>
          <w:szCs w:val="24"/>
          <w:lang w:val="uk-UA"/>
        </w:rPr>
        <w:t>у сфері ринків фінансових послуг</w:t>
      </w:r>
      <w:r w:rsidR="00491D78" w:rsidRPr="00F60401">
        <w:rPr>
          <w:rFonts w:ascii="Arial Narrow" w:hAnsi="Arial Narrow"/>
          <w:b/>
          <w:sz w:val="24"/>
          <w:szCs w:val="24"/>
          <w:lang w:val="uk-UA"/>
        </w:rPr>
        <w:t xml:space="preserve"> та визначається періодичність здійснення планових заходів державного нагляду (контролю) </w:t>
      </w:r>
      <w:r w:rsidR="00D52226" w:rsidRPr="00F60401">
        <w:rPr>
          <w:rFonts w:ascii="Arial Narrow" w:hAnsi="Arial Narrow"/>
          <w:b/>
          <w:sz w:val="24"/>
          <w:szCs w:val="24"/>
          <w:lang w:val="uk-UA"/>
        </w:rPr>
        <w:t>Національною комісією, що здійснює державне регулювання у сфері ринків фінансових послуг</w:t>
      </w:r>
      <w:r w:rsidR="00C54E18" w:rsidRPr="00F60401">
        <w:rPr>
          <w:rFonts w:ascii="Arial Narrow" w:hAnsi="Arial Narrow"/>
          <w:b/>
          <w:sz w:val="24"/>
          <w:szCs w:val="24"/>
          <w:lang w:val="uk-UA"/>
        </w:rPr>
        <w:t xml:space="preserve">» </w:t>
      </w:r>
      <w:bookmarkEnd w:id="0"/>
      <w:r w:rsidR="00C54E18" w:rsidRPr="00F60401">
        <w:rPr>
          <w:rFonts w:ascii="Arial Narrow" w:hAnsi="Arial Narrow"/>
          <w:b/>
          <w:sz w:val="24"/>
          <w:szCs w:val="24"/>
          <w:lang w:val="uk-UA"/>
        </w:rPr>
        <w:t>(далі – Проект)</w:t>
      </w:r>
    </w:p>
    <w:p w:rsidR="00E103DF" w:rsidRPr="00F60401" w:rsidRDefault="000F333D" w:rsidP="0002046A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>1.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936F6D" w:rsidRPr="00F60401">
        <w:rPr>
          <w:rFonts w:ascii="Arial Narrow" w:hAnsi="Arial Narrow"/>
          <w:sz w:val="24"/>
          <w:szCs w:val="24"/>
          <w:lang w:val="uk-UA"/>
        </w:rPr>
        <w:t>В</w:t>
      </w:r>
      <w:r w:rsidR="00B01FA5" w:rsidRPr="00F60401">
        <w:rPr>
          <w:rFonts w:ascii="Arial Narrow" w:hAnsi="Arial Narrow"/>
          <w:sz w:val="24"/>
          <w:szCs w:val="24"/>
          <w:lang w:val="uk-UA"/>
        </w:rPr>
        <w:t xml:space="preserve">ідповідно до </w:t>
      </w:r>
      <w:r w:rsidR="00246615" w:rsidRPr="00F60401">
        <w:rPr>
          <w:rFonts w:ascii="Arial Narrow" w:hAnsi="Arial Narrow"/>
          <w:sz w:val="24"/>
          <w:szCs w:val="24"/>
          <w:lang w:val="uk-UA"/>
        </w:rPr>
        <w:t xml:space="preserve">статті 7 </w:t>
      </w:r>
      <w:r w:rsidR="00B01FA5" w:rsidRPr="00F60401">
        <w:rPr>
          <w:rFonts w:ascii="Arial Narrow" w:hAnsi="Arial Narrow"/>
          <w:sz w:val="24"/>
          <w:szCs w:val="24"/>
          <w:lang w:val="uk-UA"/>
        </w:rPr>
        <w:t xml:space="preserve">Закону України «Про ліцензування видів господарської діяльності» (далі – Закон про ліцензування) </w:t>
      </w:r>
      <w:r w:rsidR="00246615" w:rsidRPr="00F60401">
        <w:rPr>
          <w:rFonts w:ascii="Arial Narrow" w:hAnsi="Arial Narrow"/>
          <w:sz w:val="24"/>
          <w:szCs w:val="24"/>
          <w:lang w:val="uk-UA"/>
        </w:rPr>
        <w:t>ліцензуванню підляга</w:t>
      </w:r>
      <w:r w:rsidR="00D55FA4" w:rsidRPr="00F60401">
        <w:rPr>
          <w:rFonts w:ascii="Arial Narrow" w:hAnsi="Arial Narrow"/>
          <w:sz w:val="24"/>
          <w:szCs w:val="24"/>
          <w:lang w:val="uk-UA"/>
        </w:rPr>
        <w:t>є</w:t>
      </w:r>
      <w:r w:rsidR="00973626" w:rsidRPr="00F60401">
        <w:rPr>
          <w:rFonts w:ascii="Arial Narrow" w:hAnsi="Arial Narrow"/>
          <w:sz w:val="24"/>
          <w:szCs w:val="24"/>
          <w:lang w:val="uk-UA"/>
        </w:rPr>
        <w:t xml:space="preserve"> не </w:t>
      </w:r>
      <w:r w:rsidR="00936F6D" w:rsidRPr="00F60401">
        <w:rPr>
          <w:rFonts w:ascii="Arial Narrow" w:hAnsi="Arial Narrow"/>
          <w:sz w:val="24"/>
          <w:szCs w:val="24"/>
          <w:lang w:val="uk-UA"/>
        </w:rPr>
        <w:t xml:space="preserve">господарська діяльність у сфері ринків фінансових послуг, а </w:t>
      </w:r>
      <w:r w:rsidR="00E103DF" w:rsidRPr="00F60401">
        <w:rPr>
          <w:rFonts w:ascii="Arial Narrow" w:hAnsi="Arial Narrow"/>
          <w:sz w:val="24"/>
          <w:szCs w:val="24"/>
          <w:lang w:val="uk-UA"/>
        </w:rPr>
        <w:t xml:space="preserve">господарська діяльність з </w:t>
      </w:r>
      <w:r w:rsidR="00E103DF" w:rsidRPr="00F60401">
        <w:rPr>
          <w:rFonts w:ascii="Arial Narrow" w:hAnsi="Arial Narrow"/>
          <w:color w:val="000000"/>
          <w:sz w:val="24"/>
          <w:szCs w:val="24"/>
          <w:shd w:val="clear" w:color="auto" w:fill="FFFFFF"/>
          <w:lang w:val="uk-UA"/>
        </w:rPr>
        <w:t>надання фінансових послуг (крім професійної діяльності на ринку цінних паперів)</w:t>
      </w:r>
      <w:r w:rsidR="00D55FA4" w:rsidRPr="00F60401">
        <w:rPr>
          <w:rFonts w:ascii="Arial Narrow" w:hAnsi="Arial Narrow"/>
          <w:color w:val="000000"/>
          <w:sz w:val="24"/>
          <w:szCs w:val="24"/>
          <w:shd w:val="clear" w:color="auto" w:fill="FFFFFF"/>
          <w:lang w:val="uk-UA"/>
        </w:rPr>
        <w:t>, тому до Проекту слід внести відповідні зміни.</w:t>
      </w:r>
    </w:p>
    <w:p w:rsidR="00A16EF1" w:rsidRPr="00F60401" w:rsidRDefault="002C01BA" w:rsidP="00A16EF1">
      <w:pPr>
        <w:spacing w:after="0" w:line="0" w:lineRule="atLeast"/>
        <w:ind w:firstLine="567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 xml:space="preserve">2. </w:t>
      </w:r>
      <w:r w:rsidR="0058308B" w:rsidRPr="00F60401">
        <w:rPr>
          <w:rFonts w:ascii="Arial Narrow" w:hAnsi="Arial Narrow"/>
          <w:sz w:val="24"/>
          <w:szCs w:val="24"/>
          <w:lang w:val="uk-UA"/>
        </w:rPr>
        <w:t xml:space="preserve">При визначенні критеріїв, за якими оцінюється ступінь ризику від провадження господарської діяльності </w:t>
      </w:r>
      <w:r w:rsidR="00F66614" w:rsidRPr="00F60401">
        <w:rPr>
          <w:rFonts w:ascii="Arial Narrow" w:hAnsi="Arial Narrow"/>
          <w:sz w:val="24"/>
          <w:szCs w:val="24"/>
          <w:lang w:val="uk-UA"/>
        </w:rPr>
        <w:t>з надання фінансових послуг</w:t>
      </w:r>
      <w:r w:rsidR="002F4007" w:rsidRPr="00F60401">
        <w:rPr>
          <w:rFonts w:ascii="Arial Narrow" w:hAnsi="Arial Narrow"/>
          <w:sz w:val="24"/>
          <w:szCs w:val="24"/>
          <w:lang w:val="uk-UA"/>
        </w:rPr>
        <w:t xml:space="preserve">, </w:t>
      </w:r>
      <w:r w:rsidR="009D0F32" w:rsidRPr="00F60401">
        <w:rPr>
          <w:rFonts w:ascii="Arial Narrow" w:hAnsi="Arial Narrow"/>
          <w:sz w:val="24"/>
          <w:szCs w:val="24"/>
          <w:lang w:val="uk-UA"/>
        </w:rPr>
        <w:t>розробником не враховано, що відповідно до статті 1 Закону України «Про основні засади державного нагляду (контролю) у сфері господарської діяльності»</w:t>
      </w:r>
      <w:r w:rsidR="0058308B"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BC3DC7" w:rsidRPr="00F60401">
        <w:rPr>
          <w:rFonts w:ascii="Arial Narrow" w:hAnsi="Arial Narrow"/>
          <w:sz w:val="24"/>
          <w:szCs w:val="24"/>
          <w:lang w:val="uk-UA"/>
        </w:rPr>
        <w:t xml:space="preserve">                  (далі – Закон про контроль) </w:t>
      </w:r>
      <w:r w:rsidR="00E26951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ризик - кількісна міра небезпеки, що враховує ймовірність виникнення негативних наслідків від здійснення господарської діяльності т</w:t>
      </w:r>
      <w:r w:rsidR="00A16EF1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а можливий розмір втрат від них.</w:t>
      </w:r>
    </w:p>
    <w:p w:rsidR="00F55C7C" w:rsidRPr="00F60401" w:rsidRDefault="00A16EF1" w:rsidP="00A16EF1">
      <w:pPr>
        <w:spacing w:after="0" w:line="0" w:lineRule="atLeast"/>
        <w:ind w:firstLine="567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</w:pPr>
      <w:r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З огляду на зазначене, не можуть бути </w:t>
      </w:r>
      <w:r w:rsidR="005026C7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критеріями ризику: «дотримання вимог законодавства», «стан виконання зобов’язань перед споживачами»</w:t>
      </w:r>
      <w:r w:rsidR="00275D12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.</w:t>
      </w:r>
      <w:r w:rsidR="008C49CE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</w:t>
      </w:r>
      <w:r w:rsidR="00F55C7C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Натомість критеріями ризику можуть бути «недотримання вимог законодавства», «невиконання зобов’язань перед споживачами</w:t>
      </w:r>
      <w:r w:rsidR="00C521EA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»</w:t>
      </w:r>
      <w:r w:rsidR="005C65B2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тощо</w:t>
      </w:r>
      <w:r w:rsidR="00F55C7C" w:rsidRPr="00F60401">
        <w:rPr>
          <w:rFonts w:ascii="Arial Narrow" w:hAnsi="Arial Narrow"/>
          <w:sz w:val="24"/>
          <w:szCs w:val="24"/>
          <w:lang w:val="uk-UA"/>
        </w:rPr>
        <w:t>.</w:t>
      </w:r>
    </w:p>
    <w:p w:rsidR="00DA560E" w:rsidRPr="00F60401" w:rsidRDefault="00AF149D" w:rsidP="001448F7">
      <w:pPr>
        <w:spacing w:after="0" w:line="0" w:lineRule="atLeast"/>
        <w:ind w:firstLine="567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Крім того, </w:t>
      </w:r>
      <w:r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стан виконання зобов’язань перед споживачами </w:t>
      </w:r>
      <w:r w:rsidR="008E648F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фінансових послуг </w:t>
      </w:r>
      <w:r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не може визначатися за кількістю скарг споживачів послуг </w:t>
      </w:r>
      <w:r w:rsidR="00F83306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на виконання суб’єктом господарювання своїх зобов’язань</w:t>
      </w:r>
      <w:r w:rsidR="00CE3A04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, які надходять до </w:t>
      </w:r>
      <w:proofErr w:type="spellStart"/>
      <w:r w:rsidR="00CE3A04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Нацкомфінпослуг</w:t>
      </w:r>
      <w:proofErr w:type="spellEnd"/>
      <w:r w:rsidR="00BC32A8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, оскільки інформація</w:t>
      </w:r>
      <w:r w:rsidR="0065389B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,</w:t>
      </w:r>
      <w:r w:rsidR="00BC32A8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викладена в скаргах</w:t>
      </w:r>
      <w:r w:rsidR="0065389B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,</w:t>
      </w:r>
      <w:r w:rsidR="00BC32A8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не завжди може знаходити своє підтвердження</w:t>
      </w:r>
      <w:r w:rsidR="00FD05AD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і </w:t>
      </w:r>
      <w:r w:rsidR="00D1398A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суб’єкт господарювання</w:t>
      </w:r>
      <w:r w:rsidR="00FD05AD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, насправді, може і не вчиняти порушень вимог чинного законодавства</w:t>
      </w:r>
      <w:r w:rsidR="009709BB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, тому зазначений критерій або взагалі потребує виключення з Проекту, або суттєвого доопрацювання</w:t>
      </w:r>
      <w:r w:rsidR="00CE3A04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>.</w:t>
      </w:r>
      <w:r w:rsidR="00F83306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 </w:t>
      </w:r>
    </w:p>
    <w:p w:rsidR="001448F7" w:rsidRPr="00F60401" w:rsidRDefault="001448F7" w:rsidP="001448F7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Слід зазначити, що вищезазначені зауваження стосуються і підпункту 7 пункту 4 Проекту.</w:t>
      </w:r>
    </w:p>
    <w:p w:rsidR="00E15787" w:rsidRPr="00F60401" w:rsidRDefault="003572C8" w:rsidP="00D55FA4">
      <w:pPr>
        <w:spacing w:after="0" w:line="0" w:lineRule="atLeast"/>
        <w:ind w:firstLine="567"/>
        <w:jc w:val="both"/>
        <w:rPr>
          <w:rFonts w:ascii="Arial Narrow" w:hAnsi="Arial Narrow"/>
          <w:b/>
          <w:i/>
          <w:sz w:val="24"/>
          <w:szCs w:val="24"/>
          <w:lang w:val="uk-UA"/>
        </w:rPr>
      </w:pPr>
      <w:r w:rsidRPr="00F60401">
        <w:rPr>
          <w:rFonts w:ascii="Arial Narrow" w:eastAsia="Times New Roman" w:hAnsi="Arial Narrow" w:cs="Courier New"/>
          <w:b/>
          <w:color w:val="000000"/>
          <w:sz w:val="24"/>
          <w:szCs w:val="24"/>
          <w:lang w:val="uk-UA" w:eastAsia="ru-RU"/>
        </w:rPr>
        <w:t xml:space="preserve">3. </w:t>
      </w:r>
      <w:r w:rsidR="005D4851" w:rsidRPr="00F60401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Підпунктом 4 пункту 3 Проекту передбачено, що </w:t>
      </w:r>
      <w:r w:rsidR="005D4851" w:rsidRPr="00F60401">
        <w:rPr>
          <w:rFonts w:ascii="Arial Narrow" w:hAnsi="Arial Narrow"/>
          <w:sz w:val="24"/>
          <w:szCs w:val="24"/>
          <w:lang w:val="uk-UA"/>
        </w:rPr>
        <w:t xml:space="preserve">до суб’єктів господарювання з високим ступенем ризику належать суб’єкти господарювання, які надають послуги з </w:t>
      </w:r>
      <w:r w:rsidR="005D4851" w:rsidRPr="00F60401">
        <w:rPr>
          <w:rFonts w:ascii="Arial Narrow" w:hAnsi="Arial Narrow"/>
          <w:b/>
          <w:i/>
          <w:sz w:val="24"/>
          <w:szCs w:val="24"/>
          <w:lang w:val="uk-UA"/>
        </w:rPr>
        <w:t>довірчого управління фінансовими активами.</w:t>
      </w:r>
      <w:r w:rsidR="00E82999" w:rsidRPr="00F60401">
        <w:rPr>
          <w:rFonts w:ascii="Arial Narrow" w:hAnsi="Arial Narrow"/>
          <w:b/>
          <w:i/>
          <w:sz w:val="24"/>
          <w:szCs w:val="24"/>
          <w:lang w:val="uk-UA"/>
        </w:rPr>
        <w:t xml:space="preserve"> </w:t>
      </w:r>
    </w:p>
    <w:p w:rsidR="00991AA9" w:rsidRPr="00F60401" w:rsidRDefault="005D4851" w:rsidP="00D55FA4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Проте, відповідно до статті 1 Закону України «Про фінансові послуги та державне регулювання ринків фінансових послуг», </w:t>
      </w:r>
      <w:r w:rsidRPr="00F60401">
        <w:rPr>
          <w:rFonts w:ascii="Arial Narrow" w:hAnsi="Arial Narrow"/>
          <w:b/>
          <w:i/>
          <w:sz w:val="24"/>
          <w:szCs w:val="24"/>
          <w:lang w:val="uk-UA"/>
        </w:rPr>
        <w:t>фінансові активи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- кошти, </w:t>
      </w:r>
      <w:r w:rsidRPr="00F60401">
        <w:rPr>
          <w:rFonts w:ascii="Arial Narrow" w:hAnsi="Arial Narrow"/>
          <w:b/>
          <w:i/>
          <w:sz w:val="24"/>
          <w:szCs w:val="24"/>
          <w:lang w:val="uk-UA"/>
        </w:rPr>
        <w:t>цінні папери</w:t>
      </w:r>
      <w:r w:rsidRPr="00F60401">
        <w:rPr>
          <w:rFonts w:ascii="Arial Narrow" w:hAnsi="Arial Narrow"/>
          <w:sz w:val="24"/>
          <w:szCs w:val="24"/>
          <w:lang w:val="uk-UA"/>
        </w:rPr>
        <w:t>, боргові зобов'язання та право вимоги боргу, що не віднесені до цінних паперів.</w:t>
      </w:r>
      <w:r w:rsidR="00991AA9" w:rsidRPr="00F60401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5D4851" w:rsidRPr="00F60401" w:rsidRDefault="00E36BBA" w:rsidP="00D55FA4">
      <w:pPr>
        <w:spacing w:after="0" w:line="0" w:lineRule="atLeast"/>
        <w:ind w:firstLine="567"/>
        <w:jc w:val="both"/>
        <w:rPr>
          <w:rFonts w:ascii="Arial Narrow" w:hAnsi="Arial Narrow"/>
          <w:b/>
          <w:i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Відповідно до статей</w:t>
      </w:r>
      <w:r w:rsidR="00991AA9" w:rsidRPr="00F60401">
        <w:rPr>
          <w:rFonts w:ascii="Arial Narrow" w:hAnsi="Arial Narrow"/>
          <w:sz w:val="24"/>
          <w:szCs w:val="24"/>
          <w:lang w:val="uk-UA"/>
        </w:rPr>
        <w:t xml:space="preserve"> 16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 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та 17 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Закону України «Про цінні папери та фондовий ринок» н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а фондовому ринку 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здійснює</w:t>
      </w:r>
      <w:r w:rsidR="00991AA9" w:rsidRPr="004F312A">
        <w:rPr>
          <w:rFonts w:ascii="Arial Narrow" w:hAnsi="Arial Narrow"/>
          <w:sz w:val="24"/>
          <w:szCs w:val="24"/>
          <w:lang w:val="uk-UA"/>
        </w:rPr>
        <w:t>ться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, зокрема,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 так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ий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 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вид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 професійної </w:t>
      </w:r>
      <w:r w:rsidR="00991AA9" w:rsidRPr="00F60401">
        <w:rPr>
          <w:rFonts w:ascii="Arial Narrow" w:hAnsi="Arial Narrow"/>
          <w:sz w:val="24"/>
          <w:szCs w:val="24"/>
          <w:lang w:val="uk-UA"/>
        </w:rPr>
        <w:t>діяльності, як</w:t>
      </w:r>
      <w:r w:rsidR="00991AA9" w:rsidRPr="004F312A">
        <w:rPr>
          <w:rFonts w:ascii="Arial Narrow" w:hAnsi="Arial Narrow"/>
          <w:sz w:val="24"/>
          <w:szCs w:val="24"/>
          <w:lang w:val="uk-UA"/>
        </w:rPr>
        <w:t xml:space="preserve"> </w:t>
      </w:r>
      <w:bookmarkStart w:id="1" w:name="o337"/>
      <w:bookmarkEnd w:id="1"/>
      <w:r w:rsidR="00991AA9" w:rsidRPr="004F312A">
        <w:rPr>
          <w:rFonts w:ascii="Arial Narrow" w:hAnsi="Arial Narrow"/>
          <w:sz w:val="24"/>
          <w:szCs w:val="24"/>
          <w:lang w:val="uk-UA"/>
        </w:rPr>
        <w:t>діяльніс</w:t>
      </w:r>
      <w:r w:rsidR="00991AA9" w:rsidRPr="00F60401">
        <w:rPr>
          <w:rFonts w:ascii="Arial Narrow" w:hAnsi="Arial Narrow"/>
          <w:sz w:val="24"/>
          <w:szCs w:val="24"/>
          <w:lang w:val="uk-UA"/>
        </w:rPr>
        <w:t xml:space="preserve">ть з торгівлі цінними паперами. </w:t>
      </w:r>
      <w:r w:rsidR="00991AA9" w:rsidRPr="002F3A96">
        <w:rPr>
          <w:rFonts w:ascii="Arial Narrow" w:hAnsi="Arial Narrow"/>
          <w:b/>
          <w:i/>
          <w:sz w:val="24"/>
          <w:szCs w:val="24"/>
          <w:lang w:val="uk-UA"/>
        </w:rPr>
        <w:t>Професійна діяльність з торгівлі цінними</w:t>
      </w:r>
      <w:r w:rsidR="00991AA9" w:rsidRPr="00F60401">
        <w:rPr>
          <w:rFonts w:ascii="Arial Narrow" w:hAnsi="Arial Narrow"/>
          <w:b/>
          <w:i/>
          <w:sz w:val="24"/>
          <w:szCs w:val="24"/>
          <w:lang w:val="uk-UA"/>
        </w:rPr>
        <w:t xml:space="preserve"> паперами включає</w:t>
      </w:r>
      <w:r w:rsidR="00991AA9" w:rsidRPr="002F3A96">
        <w:rPr>
          <w:rFonts w:ascii="Arial Narrow" w:hAnsi="Arial Narrow"/>
          <w:b/>
          <w:i/>
          <w:sz w:val="24"/>
          <w:szCs w:val="24"/>
          <w:lang w:val="uk-UA"/>
        </w:rPr>
        <w:t xml:space="preserve"> </w:t>
      </w:r>
      <w:bookmarkStart w:id="2" w:name="o357"/>
      <w:bookmarkStart w:id="3" w:name="o360"/>
      <w:bookmarkEnd w:id="2"/>
      <w:bookmarkEnd w:id="3"/>
      <w:r w:rsidR="00991AA9" w:rsidRPr="002F3A96">
        <w:rPr>
          <w:rFonts w:ascii="Arial Narrow" w:hAnsi="Arial Narrow"/>
          <w:b/>
          <w:i/>
          <w:sz w:val="24"/>
          <w:szCs w:val="24"/>
          <w:lang w:val="uk-UA"/>
        </w:rPr>
        <w:t>діяльність з управління цінними паперами.</w:t>
      </w:r>
    </w:p>
    <w:p w:rsidR="00E15787" w:rsidRPr="00F60401" w:rsidRDefault="00E15787" w:rsidP="00E15787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Таким чином, цінні папери є фінансовими активами, тому </w:t>
      </w:r>
      <w:r w:rsidR="007B04FA" w:rsidRPr="00F60401">
        <w:rPr>
          <w:rFonts w:ascii="Arial Narrow" w:hAnsi="Arial Narrow"/>
          <w:sz w:val="24"/>
          <w:szCs w:val="24"/>
          <w:lang w:val="uk-UA"/>
        </w:rPr>
        <w:t xml:space="preserve">вбачається, що 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діяльність з надання послуг з довірчого управління фінансовими активами включає в себе і діяльність з управління цінними паперами, що відноситься до професійної діяльності на ринку цінних паперів. </w:t>
      </w:r>
    </w:p>
    <w:p w:rsidR="00E15787" w:rsidRPr="00F60401" w:rsidRDefault="00E15787" w:rsidP="00E15787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Згідно з постановою Кабінету Міністрів України від 05.08.2015 № 609 «Про затвердження переліку органів ліцензування та визнання такими, що втратили чинність, деяких постанов Кабінету Міністрів України» </w:t>
      </w:r>
      <w:proofErr w:type="spellStart"/>
      <w:r w:rsidRPr="00F60401">
        <w:rPr>
          <w:rFonts w:ascii="Arial Narrow" w:hAnsi="Arial Narrow"/>
          <w:sz w:val="24"/>
          <w:szCs w:val="24"/>
          <w:lang w:val="uk-UA"/>
        </w:rPr>
        <w:t>Нацкомфінпослуг</w:t>
      </w:r>
      <w:proofErr w:type="spellEnd"/>
      <w:r w:rsidRPr="00F60401">
        <w:rPr>
          <w:rFonts w:ascii="Arial Narrow" w:hAnsi="Arial Narrow"/>
          <w:sz w:val="24"/>
          <w:szCs w:val="24"/>
          <w:lang w:val="uk-UA"/>
        </w:rPr>
        <w:t xml:space="preserve"> ліцензу</w:t>
      </w:r>
      <w:r w:rsidR="008456E8" w:rsidRPr="00F60401">
        <w:rPr>
          <w:rFonts w:ascii="Arial Narrow" w:hAnsi="Arial Narrow"/>
          <w:sz w:val="24"/>
          <w:szCs w:val="24"/>
          <w:lang w:val="uk-UA"/>
        </w:rPr>
        <w:t>є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діяльн</w:t>
      </w:r>
      <w:r w:rsidR="008456E8" w:rsidRPr="00F60401">
        <w:rPr>
          <w:rFonts w:ascii="Arial Narrow" w:hAnsi="Arial Narrow"/>
          <w:sz w:val="24"/>
          <w:szCs w:val="24"/>
          <w:lang w:val="uk-UA"/>
        </w:rPr>
        <w:t>ість з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Pr="00705223">
        <w:rPr>
          <w:rFonts w:ascii="Arial Narrow" w:hAnsi="Arial Narrow"/>
          <w:sz w:val="24"/>
          <w:szCs w:val="24"/>
          <w:lang w:val="uk-UA"/>
        </w:rPr>
        <w:t>надання фінансових послуг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, а </w:t>
      </w:r>
      <w:r w:rsidRPr="00705223">
        <w:rPr>
          <w:rFonts w:ascii="Arial Narrow" w:hAnsi="Arial Narrow"/>
          <w:sz w:val="24"/>
          <w:szCs w:val="24"/>
          <w:lang w:val="uk-UA"/>
        </w:rPr>
        <w:t>НКЦПФР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EE64EB" w:rsidRPr="00F60401">
        <w:rPr>
          <w:rFonts w:ascii="Arial Narrow" w:hAnsi="Arial Narrow"/>
          <w:sz w:val="24"/>
          <w:szCs w:val="24"/>
          <w:lang w:val="uk-UA"/>
        </w:rPr>
        <w:t>-</w:t>
      </w:r>
      <w:r w:rsidR="008456E8"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Pr="00705223">
        <w:rPr>
          <w:rFonts w:ascii="Arial Narrow" w:hAnsi="Arial Narrow"/>
          <w:sz w:val="24"/>
          <w:szCs w:val="24"/>
          <w:lang w:val="uk-UA"/>
        </w:rPr>
        <w:t>професійн</w:t>
      </w:r>
      <w:r w:rsidR="008456E8" w:rsidRPr="00F60401">
        <w:rPr>
          <w:rFonts w:ascii="Arial Narrow" w:hAnsi="Arial Narrow"/>
          <w:sz w:val="24"/>
          <w:szCs w:val="24"/>
          <w:lang w:val="uk-UA"/>
        </w:rPr>
        <w:t>у</w:t>
      </w:r>
      <w:r w:rsidRPr="00705223">
        <w:rPr>
          <w:rFonts w:ascii="Arial Narrow" w:hAnsi="Arial Narrow"/>
          <w:sz w:val="24"/>
          <w:szCs w:val="24"/>
          <w:lang w:val="uk-UA"/>
        </w:rPr>
        <w:t xml:space="preserve"> діяльність на ринку цінних паперів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E15787" w:rsidRPr="00F60401" w:rsidRDefault="009961BC" w:rsidP="00E15787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Отже,</w:t>
      </w:r>
      <w:r w:rsidR="00E15787" w:rsidRPr="00F60401">
        <w:rPr>
          <w:rFonts w:ascii="Arial Narrow" w:hAnsi="Arial Narrow"/>
          <w:sz w:val="24"/>
          <w:szCs w:val="24"/>
          <w:lang w:val="uk-UA"/>
        </w:rPr>
        <w:t xml:space="preserve"> здійснення державного нагляду (контролю) за суб’єктами господарювання, що надають послуги з управління </w:t>
      </w:r>
      <w:r w:rsidR="00E52514" w:rsidRPr="00F60401">
        <w:rPr>
          <w:rFonts w:ascii="Arial Narrow" w:hAnsi="Arial Narrow"/>
          <w:sz w:val="24"/>
          <w:szCs w:val="24"/>
          <w:lang w:val="uk-UA"/>
        </w:rPr>
        <w:t>фінансовими активами,</w:t>
      </w:r>
      <w:r w:rsidR="00E15787" w:rsidRPr="00F60401">
        <w:rPr>
          <w:rFonts w:ascii="Arial Narrow" w:hAnsi="Arial Narrow"/>
          <w:sz w:val="24"/>
          <w:szCs w:val="24"/>
          <w:lang w:val="uk-UA"/>
        </w:rPr>
        <w:t xml:space="preserve"> відноситься до компетенції </w:t>
      </w:r>
      <w:r w:rsidR="00E15787" w:rsidRPr="00705223">
        <w:rPr>
          <w:rFonts w:ascii="Arial Narrow" w:hAnsi="Arial Narrow"/>
          <w:sz w:val="24"/>
          <w:szCs w:val="24"/>
          <w:lang w:val="uk-UA"/>
        </w:rPr>
        <w:t>НКЦПФР</w:t>
      </w:r>
      <w:r w:rsidR="00E15787" w:rsidRPr="00F6040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722C61" w:rsidRPr="00F60401" w:rsidRDefault="00722C61" w:rsidP="00722C61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</w:rPr>
      </w:pPr>
      <w:r w:rsidRPr="00F60401">
        <w:rPr>
          <w:rFonts w:ascii="Arial Narrow" w:hAnsi="Arial Narrow"/>
          <w:sz w:val="24"/>
          <w:szCs w:val="24"/>
          <w:lang w:val="uk-UA"/>
        </w:rPr>
        <w:t>Статтею 3 Закону про контроль запроваджено принцип неприпустимості дублювання повноважень органів державного нагляду (контролю) та неприпустимості здійснення заходів державного нагляду (контролю) різними органами державного нагляду (контролю) з одного й того самого питання.</w:t>
      </w:r>
    </w:p>
    <w:p w:rsidR="00FD15A3" w:rsidRPr="00F60401" w:rsidRDefault="00722C61" w:rsidP="00FD15A3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Враховуючи наведене, </w:t>
      </w:r>
      <w:r w:rsidR="00FD15A3" w:rsidRPr="00F60401">
        <w:rPr>
          <w:rFonts w:ascii="Arial Narrow" w:hAnsi="Arial Narrow"/>
          <w:sz w:val="24"/>
          <w:szCs w:val="24"/>
          <w:lang w:val="uk-UA"/>
        </w:rPr>
        <w:t xml:space="preserve">в </w:t>
      </w:r>
      <w:r w:rsidRPr="00F60401">
        <w:rPr>
          <w:rFonts w:ascii="Arial Narrow" w:hAnsi="Arial Narrow"/>
          <w:sz w:val="24"/>
          <w:szCs w:val="24"/>
          <w:lang w:val="uk-UA"/>
        </w:rPr>
        <w:t>підпункт</w:t>
      </w:r>
      <w:r w:rsidR="00FD15A3" w:rsidRPr="00F60401">
        <w:rPr>
          <w:rFonts w:ascii="Arial Narrow" w:hAnsi="Arial Narrow"/>
          <w:sz w:val="24"/>
          <w:szCs w:val="24"/>
          <w:lang w:val="uk-UA"/>
        </w:rPr>
        <w:t>і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4 пункту 3 Проекту </w:t>
      </w:r>
      <w:r w:rsidR="00FD15A3" w:rsidRPr="00F60401">
        <w:rPr>
          <w:rFonts w:ascii="Arial Narrow" w:hAnsi="Arial Narrow"/>
          <w:sz w:val="24"/>
          <w:szCs w:val="24"/>
          <w:lang w:val="uk-UA"/>
        </w:rPr>
        <w:t xml:space="preserve">розробнику слід розмежувати повноваження </w:t>
      </w:r>
      <w:r w:rsidR="00FD15A3" w:rsidRPr="00705223">
        <w:rPr>
          <w:rFonts w:ascii="Arial Narrow" w:hAnsi="Arial Narrow"/>
          <w:sz w:val="24"/>
          <w:szCs w:val="24"/>
          <w:lang w:val="uk-UA"/>
        </w:rPr>
        <w:t>НКЦПФР</w:t>
      </w:r>
      <w:r w:rsidR="00FD15A3" w:rsidRPr="00F60401">
        <w:rPr>
          <w:rFonts w:ascii="Arial Narrow" w:hAnsi="Arial Narrow"/>
          <w:sz w:val="24"/>
          <w:szCs w:val="24"/>
          <w:lang w:val="uk-UA"/>
        </w:rPr>
        <w:t xml:space="preserve"> та </w:t>
      </w:r>
      <w:proofErr w:type="spellStart"/>
      <w:r w:rsidR="00FD15A3" w:rsidRPr="00F60401">
        <w:rPr>
          <w:rFonts w:ascii="Arial Narrow" w:hAnsi="Arial Narrow"/>
          <w:sz w:val="24"/>
          <w:szCs w:val="24"/>
          <w:lang w:val="uk-UA"/>
        </w:rPr>
        <w:t>Нацкомфінпослуг</w:t>
      </w:r>
      <w:proofErr w:type="spellEnd"/>
      <w:r w:rsidR="00FD15A3" w:rsidRPr="00F60401">
        <w:rPr>
          <w:rFonts w:ascii="Arial Narrow" w:hAnsi="Arial Narrow"/>
          <w:sz w:val="24"/>
          <w:szCs w:val="24"/>
          <w:lang w:val="uk-UA"/>
        </w:rPr>
        <w:t>, виключивши з Проекту коло суб’єктів господарювання, які здійснюють професійну діяльність на ринку цінних паперів.</w:t>
      </w:r>
    </w:p>
    <w:p w:rsidR="009961BC" w:rsidRPr="00F60401" w:rsidRDefault="0086730F" w:rsidP="009961BC">
      <w:pPr>
        <w:spacing w:after="0" w:line="0" w:lineRule="atLeast"/>
        <w:ind w:firstLine="567"/>
        <w:jc w:val="both"/>
        <w:rPr>
          <w:rFonts w:ascii="Arial Narrow" w:hAnsi="Arial Narrow"/>
          <w:b/>
          <w:i/>
          <w:sz w:val="24"/>
          <w:szCs w:val="24"/>
          <w:lang w:val="uk-UA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>4.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9961BC" w:rsidRPr="00F60401">
        <w:rPr>
          <w:rFonts w:ascii="Arial Narrow" w:hAnsi="Arial Narrow"/>
          <w:sz w:val="24"/>
          <w:szCs w:val="24"/>
          <w:lang w:val="uk-UA"/>
        </w:rPr>
        <w:t xml:space="preserve">Підпунктом 5 пункту 4 Проекту передбачено, що до суб’єктів господарювання з середнім ступенем ризику належать суб’єкти, які </w:t>
      </w:r>
      <w:r w:rsidR="009961BC" w:rsidRPr="00F60401">
        <w:rPr>
          <w:rFonts w:ascii="Arial Narrow" w:hAnsi="Arial Narrow"/>
          <w:b/>
          <w:i/>
          <w:sz w:val="24"/>
          <w:szCs w:val="24"/>
          <w:lang w:val="uk-UA"/>
        </w:rPr>
        <w:t>здійснюють операції з іпотечними активами з метою емісії іпотечних цінних паперів.</w:t>
      </w:r>
    </w:p>
    <w:p w:rsidR="007C349B" w:rsidRPr="00F60401" w:rsidRDefault="00D206A2" w:rsidP="00D55FA4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b/>
          <w:i/>
          <w:sz w:val="24"/>
          <w:szCs w:val="24"/>
          <w:lang w:val="uk-UA"/>
        </w:rPr>
        <w:lastRenderedPageBreak/>
        <w:t xml:space="preserve">До цінних паперів відносяться </w:t>
      </w:r>
      <w:r w:rsidR="002F4698" w:rsidRPr="00F60401">
        <w:rPr>
          <w:rFonts w:ascii="Arial Narrow" w:hAnsi="Arial Narrow"/>
          <w:b/>
          <w:i/>
          <w:sz w:val="24"/>
          <w:szCs w:val="24"/>
          <w:lang w:val="uk-UA"/>
        </w:rPr>
        <w:t>іпотечні цінні папери</w:t>
      </w:r>
      <w:r w:rsidRPr="00F60401">
        <w:rPr>
          <w:rFonts w:ascii="Arial Narrow" w:hAnsi="Arial Narrow"/>
          <w:b/>
          <w:i/>
          <w:sz w:val="24"/>
          <w:szCs w:val="24"/>
          <w:lang w:val="uk-UA"/>
        </w:rPr>
        <w:t>,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а саме:</w:t>
      </w:r>
      <w:r w:rsidR="00B57584"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2F4698" w:rsidRPr="00F60401">
        <w:rPr>
          <w:rFonts w:ascii="Arial Narrow" w:hAnsi="Arial Narrow"/>
          <w:sz w:val="24"/>
          <w:szCs w:val="24"/>
          <w:lang w:val="uk-UA"/>
        </w:rPr>
        <w:t xml:space="preserve">іпотечні облігації, </w:t>
      </w:r>
      <w:r w:rsidR="002F4698" w:rsidRPr="00F60401">
        <w:rPr>
          <w:rFonts w:ascii="Arial Narrow" w:hAnsi="Arial Narrow"/>
          <w:b/>
          <w:i/>
          <w:sz w:val="24"/>
          <w:szCs w:val="24"/>
          <w:lang w:val="uk-UA"/>
        </w:rPr>
        <w:t>іпотечні сертифікати,</w:t>
      </w:r>
      <w:r w:rsidR="002F4698" w:rsidRPr="00F60401">
        <w:rPr>
          <w:rFonts w:ascii="Arial Narrow" w:hAnsi="Arial Narrow"/>
          <w:sz w:val="24"/>
          <w:szCs w:val="24"/>
          <w:lang w:val="uk-UA"/>
        </w:rPr>
        <w:t xml:space="preserve"> заставні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(стаття 3 Закону України «Про цінні папери та фондовий ринок»).</w:t>
      </w:r>
    </w:p>
    <w:p w:rsidR="00ED423C" w:rsidRPr="00F60401" w:rsidRDefault="007C3AC0" w:rsidP="00F84588">
      <w:pPr>
        <w:spacing w:after="0" w:line="0" w:lineRule="atLeast"/>
        <w:ind w:firstLine="567"/>
        <w:jc w:val="both"/>
        <w:rPr>
          <w:rFonts w:ascii="Arial Narrow" w:hAnsi="Arial Narrow"/>
          <w:b/>
          <w:i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Указом Президента України </w:t>
      </w:r>
      <w:r w:rsidR="00F84588" w:rsidRPr="00F60401">
        <w:rPr>
          <w:rFonts w:ascii="Arial Narrow" w:hAnsi="Arial Narrow"/>
          <w:sz w:val="24"/>
          <w:szCs w:val="24"/>
          <w:lang w:val="uk-UA"/>
        </w:rPr>
        <w:t>від 23.11.2011 № 1063/2011 «</w:t>
      </w:r>
      <w:bookmarkStart w:id="4" w:name="o2"/>
      <w:bookmarkEnd w:id="4"/>
      <w:r w:rsidR="00575D3A" w:rsidRPr="00575D3A">
        <w:rPr>
          <w:rFonts w:ascii="Arial Narrow" w:hAnsi="Arial Narrow"/>
          <w:sz w:val="24"/>
          <w:szCs w:val="24"/>
          <w:lang w:val="uk-UA"/>
        </w:rPr>
        <w:t>Про Національну комісію з цінних паперів та фондового ринку</w:t>
      </w:r>
      <w:r w:rsidR="00660EEE" w:rsidRPr="00F60401">
        <w:rPr>
          <w:rFonts w:ascii="Arial Narrow" w:hAnsi="Arial Narrow"/>
          <w:sz w:val="24"/>
          <w:szCs w:val="24"/>
          <w:lang w:val="uk-UA"/>
        </w:rPr>
        <w:t>» передбачено, що</w:t>
      </w:r>
      <w:r w:rsidR="00575D3A" w:rsidRPr="00575D3A">
        <w:rPr>
          <w:rFonts w:ascii="Arial Narrow" w:hAnsi="Arial Narrow"/>
          <w:sz w:val="24"/>
          <w:szCs w:val="24"/>
          <w:lang w:val="uk-UA"/>
        </w:rPr>
        <w:t xml:space="preserve"> </w:t>
      </w:r>
      <w:r w:rsidR="00ED423C" w:rsidRPr="00ED423C">
        <w:rPr>
          <w:rFonts w:ascii="Arial Narrow" w:hAnsi="Arial Narrow"/>
          <w:b/>
          <w:i/>
          <w:sz w:val="24"/>
          <w:szCs w:val="24"/>
          <w:lang w:val="uk-UA"/>
        </w:rPr>
        <w:t>НКЦПФР здійснює контроль за емісією (випуском) та обігом іпотечних сертифікатів</w:t>
      </w:r>
      <w:r w:rsidR="00F84588" w:rsidRPr="00F60401">
        <w:rPr>
          <w:rFonts w:ascii="Arial Narrow" w:hAnsi="Arial Narrow"/>
          <w:b/>
          <w:i/>
          <w:sz w:val="24"/>
          <w:szCs w:val="24"/>
          <w:lang w:val="uk-UA"/>
        </w:rPr>
        <w:t>.</w:t>
      </w:r>
    </w:p>
    <w:p w:rsidR="00966D9C" w:rsidRPr="00F60401" w:rsidRDefault="001D6305" w:rsidP="00966D9C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Таким чином, з</w:t>
      </w:r>
      <w:r w:rsidR="00660EEE" w:rsidRPr="00F60401">
        <w:rPr>
          <w:rFonts w:ascii="Arial Narrow" w:hAnsi="Arial Narrow"/>
          <w:sz w:val="24"/>
          <w:szCs w:val="24"/>
          <w:lang w:val="uk-UA"/>
        </w:rPr>
        <w:t xml:space="preserve">дійснення </w:t>
      </w:r>
      <w:r w:rsidR="004916A8" w:rsidRPr="00F60401">
        <w:rPr>
          <w:rFonts w:ascii="Arial Narrow" w:hAnsi="Arial Narrow"/>
          <w:sz w:val="24"/>
          <w:szCs w:val="24"/>
          <w:lang w:val="uk-UA"/>
        </w:rPr>
        <w:t xml:space="preserve">ліцензування професійної діяльності на ринку цінних паперів та </w:t>
      </w:r>
      <w:r w:rsidR="00660EEE" w:rsidRPr="00F60401">
        <w:rPr>
          <w:rFonts w:ascii="Arial Narrow" w:hAnsi="Arial Narrow"/>
          <w:sz w:val="24"/>
          <w:szCs w:val="24"/>
          <w:lang w:val="uk-UA"/>
        </w:rPr>
        <w:t xml:space="preserve">контролю за </w:t>
      </w:r>
      <w:r w:rsidR="00660EEE" w:rsidRPr="00ED423C">
        <w:rPr>
          <w:rFonts w:ascii="Arial Narrow" w:hAnsi="Arial Narrow"/>
          <w:sz w:val="24"/>
          <w:szCs w:val="24"/>
          <w:lang w:val="uk-UA"/>
        </w:rPr>
        <w:t>емісією (випуском) та обігом іпотечних сертифікатів</w:t>
      </w:r>
      <w:r w:rsidR="00660EEE" w:rsidRPr="00F60401">
        <w:rPr>
          <w:rFonts w:ascii="Arial Narrow" w:hAnsi="Arial Narrow"/>
          <w:sz w:val="24"/>
          <w:szCs w:val="24"/>
          <w:lang w:val="uk-UA"/>
        </w:rPr>
        <w:t xml:space="preserve"> належить до повноважень </w:t>
      </w:r>
      <w:r w:rsidR="00660EEE" w:rsidRPr="00ED423C">
        <w:rPr>
          <w:rFonts w:ascii="Arial Narrow" w:hAnsi="Arial Narrow"/>
          <w:sz w:val="24"/>
          <w:szCs w:val="24"/>
          <w:lang w:val="uk-UA"/>
        </w:rPr>
        <w:t>НКЦПФР</w:t>
      </w:r>
      <w:r w:rsidR="00FD15A3" w:rsidRPr="00F60401">
        <w:rPr>
          <w:rFonts w:ascii="Arial Narrow" w:hAnsi="Arial Narrow"/>
          <w:sz w:val="24"/>
          <w:szCs w:val="24"/>
          <w:lang w:val="uk-UA"/>
        </w:rPr>
        <w:t xml:space="preserve">, а не </w:t>
      </w:r>
      <w:proofErr w:type="spellStart"/>
      <w:r w:rsidR="00FD15A3" w:rsidRPr="00F60401">
        <w:rPr>
          <w:rFonts w:ascii="Arial Narrow" w:hAnsi="Arial Narrow"/>
          <w:sz w:val="24"/>
          <w:szCs w:val="24"/>
          <w:lang w:val="uk-UA"/>
        </w:rPr>
        <w:t>Нацкомфінпослуг</w:t>
      </w:r>
      <w:proofErr w:type="spellEnd"/>
      <w:r w:rsidR="002F3A96" w:rsidRPr="00F6040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9469D5" w:rsidRPr="00F60401" w:rsidRDefault="00D34509" w:rsidP="00D55FA4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З огляду на </w:t>
      </w:r>
      <w:r w:rsidR="00705A67" w:rsidRPr="00F60401">
        <w:rPr>
          <w:rFonts w:ascii="Arial Narrow" w:hAnsi="Arial Narrow"/>
          <w:sz w:val="24"/>
          <w:szCs w:val="24"/>
          <w:lang w:val="uk-UA"/>
        </w:rPr>
        <w:t>необхідність усунення дублювання повноважень органів державного нагляду (контролю),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955D9F" w:rsidRPr="00F60401">
        <w:rPr>
          <w:rFonts w:ascii="Arial Narrow" w:hAnsi="Arial Narrow"/>
          <w:sz w:val="24"/>
          <w:szCs w:val="24"/>
          <w:lang w:val="uk-UA"/>
        </w:rPr>
        <w:t xml:space="preserve">розробнику слід розмежувати повноваження </w:t>
      </w:r>
      <w:r w:rsidR="00955D9F" w:rsidRPr="00705223">
        <w:rPr>
          <w:rFonts w:ascii="Arial Narrow" w:hAnsi="Arial Narrow"/>
          <w:sz w:val="24"/>
          <w:szCs w:val="24"/>
          <w:lang w:val="uk-UA"/>
        </w:rPr>
        <w:t>НКЦПФР</w:t>
      </w:r>
      <w:r w:rsidR="00955D9F" w:rsidRPr="00F60401">
        <w:rPr>
          <w:rFonts w:ascii="Arial Narrow" w:hAnsi="Arial Narrow"/>
          <w:sz w:val="24"/>
          <w:szCs w:val="24"/>
          <w:lang w:val="uk-UA"/>
        </w:rPr>
        <w:t xml:space="preserve"> та </w:t>
      </w:r>
      <w:proofErr w:type="spellStart"/>
      <w:r w:rsidR="00955D9F" w:rsidRPr="00F60401">
        <w:rPr>
          <w:rFonts w:ascii="Arial Narrow" w:hAnsi="Arial Narrow"/>
          <w:sz w:val="24"/>
          <w:szCs w:val="24"/>
          <w:lang w:val="uk-UA"/>
        </w:rPr>
        <w:t>Нацкомфінпослуг</w:t>
      </w:r>
      <w:proofErr w:type="spellEnd"/>
      <w:r w:rsidR="00955D9F" w:rsidRPr="00F60401">
        <w:rPr>
          <w:rFonts w:ascii="Arial Narrow" w:hAnsi="Arial Narrow"/>
          <w:sz w:val="24"/>
          <w:szCs w:val="24"/>
          <w:lang w:val="uk-UA"/>
        </w:rPr>
        <w:t xml:space="preserve">, </w:t>
      </w:r>
      <w:r w:rsidR="007D3328" w:rsidRPr="00F60401">
        <w:rPr>
          <w:rFonts w:ascii="Arial Narrow" w:hAnsi="Arial Narrow"/>
          <w:sz w:val="24"/>
          <w:szCs w:val="24"/>
          <w:lang w:val="uk-UA"/>
        </w:rPr>
        <w:t>виключи</w:t>
      </w:r>
      <w:r w:rsidR="00955D9F" w:rsidRPr="00F60401">
        <w:rPr>
          <w:rFonts w:ascii="Arial Narrow" w:hAnsi="Arial Narrow"/>
          <w:sz w:val="24"/>
          <w:szCs w:val="24"/>
          <w:lang w:val="uk-UA"/>
        </w:rPr>
        <w:t xml:space="preserve">вши з Проекту </w:t>
      </w:r>
      <w:r w:rsidR="007D3328" w:rsidRPr="00F60401">
        <w:rPr>
          <w:rFonts w:ascii="Arial Narrow" w:hAnsi="Arial Narrow"/>
          <w:sz w:val="24"/>
          <w:szCs w:val="24"/>
          <w:lang w:val="uk-UA"/>
        </w:rPr>
        <w:t xml:space="preserve">коло суб’єктів господарювання, які </w:t>
      </w:r>
      <w:r w:rsidR="009469D5" w:rsidRPr="00F60401">
        <w:rPr>
          <w:rFonts w:ascii="Arial Narrow" w:hAnsi="Arial Narrow"/>
          <w:sz w:val="24"/>
          <w:szCs w:val="24"/>
          <w:lang w:val="uk-UA"/>
        </w:rPr>
        <w:t>здійснюють професійну діяльність на ринку цінних паперів.</w:t>
      </w:r>
    </w:p>
    <w:p w:rsidR="00D55FA4" w:rsidRPr="00F60401" w:rsidRDefault="0086730F" w:rsidP="00D55FA4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>5</w:t>
      </w:r>
      <w:r w:rsidR="00FD1F83" w:rsidRPr="00F60401">
        <w:rPr>
          <w:rFonts w:ascii="Arial Narrow" w:hAnsi="Arial Narrow"/>
          <w:b/>
          <w:sz w:val="24"/>
          <w:szCs w:val="24"/>
          <w:lang w:val="uk-UA"/>
        </w:rPr>
        <w:t xml:space="preserve">. </w:t>
      </w:r>
      <w:r w:rsidR="0061277D" w:rsidRPr="00F60401">
        <w:rPr>
          <w:rFonts w:ascii="Arial Narrow" w:hAnsi="Arial Narrow"/>
          <w:sz w:val="24"/>
          <w:szCs w:val="24"/>
          <w:lang w:val="uk-UA"/>
        </w:rPr>
        <w:t xml:space="preserve">Підпунктом 7 пункту 3 Проекту передбачено, що до суб’єктів господарювання з високим ступенем ризику належать </w:t>
      </w:r>
      <w:r w:rsidR="00DD5D27" w:rsidRPr="00F60401">
        <w:rPr>
          <w:rFonts w:ascii="Arial Narrow" w:hAnsi="Arial Narrow"/>
          <w:sz w:val="24"/>
          <w:szCs w:val="24"/>
          <w:lang w:val="uk-UA"/>
        </w:rPr>
        <w:t xml:space="preserve">суб’єкти щодо яких </w:t>
      </w:r>
      <w:proofErr w:type="spellStart"/>
      <w:r w:rsidR="00DD5D27" w:rsidRPr="00F60401">
        <w:rPr>
          <w:rFonts w:ascii="Arial Narrow" w:hAnsi="Arial Narrow"/>
          <w:sz w:val="24"/>
          <w:szCs w:val="24"/>
          <w:lang w:val="uk-UA"/>
        </w:rPr>
        <w:t>Нацкомфінпослуг</w:t>
      </w:r>
      <w:proofErr w:type="spellEnd"/>
      <w:r w:rsidR="00DD5D27" w:rsidRPr="00F60401">
        <w:rPr>
          <w:rFonts w:ascii="Arial Narrow" w:hAnsi="Arial Narrow"/>
          <w:sz w:val="24"/>
          <w:szCs w:val="24"/>
          <w:lang w:val="uk-UA"/>
        </w:rPr>
        <w:t xml:space="preserve"> встановлено два та більше фактів порушень законодавства у сфері ринків фінансових послуг</w:t>
      </w:r>
      <w:r w:rsidR="00984236" w:rsidRPr="00F60401">
        <w:rPr>
          <w:rFonts w:ascii="Arial Narrow" w:hAnsi="Arial Narrow"/>
          <w:sz w:val="24"/>
          <w:szCs w:val="24"/>
          <w:lang w:val="uk-UA"/>
        </w:rPr>
        <w:t>.</w:t>
      </w:r>
      <w:r w:rsidR="00DD5D27" w:rsidRPr="00F60401">
        <w:rPr>
          <w:rFonts w:ascii="Arial Narrow" w:hAnsi="Arial Narrow"/>
          <w:sz w:val="24"/>
          <w:szCs w:val="24"/>
          <w:lang w:val="uk-UA"/>
        </w:rPr>
        <w:t xml:space="preserve">  </w:t>
      </w:r>
    </w:p>
    <w:p w:rsidR="002C01BA" w:rsidRPr="00F60401" w:rsidRDefault="00E32900" w:rsidP="000E3011">
      <w:pPr>
        <w:tabs>
          <w:tab w:val="center" w:pos="4961"/>
        </w:tabs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П</w:t>
      </w:r>
      <w:r w:rsidR="003803A3" w:rsidRPr="00F60401">
        <w:rPr>
          <w:rFonts w:ascii="Arial Narrow" w:hAnsi="Arial Narrow"/>
          <w:sz w:val="24"/>
          <w:szCs w:val="24"/>
          <w:lang w:val="uk-UA"/>
        </w:rPr>
        <w:t xml:space="preserve">унктом </w:t>
      </w:r>
      <w:r w:rsidR="000E3011" w:rsidRPr="00F60401">
        <w:rPr>
          <w:rFonts w:ascii="Arial Narrow" w:hAnsi="Arial Narrow"/>
          <w:sz w:val="24"/>
          <w:szCs w:val="24"/>
          <w:lang w:val="uk-UA"/>
        </w:rPr>
        <w:t>10</w:t>
      </w:r>
      <w:r w:rsidR="003803A3" w:rsidRPr="00F60401">
        <w:rPr>
          <w:rFonts w:ascii="Arial Narrow" w:hAnsi="Arial Narrow"/>
          <w:sz w:val="24"/>
          <w:szCs w:val="24"/>
          <w:lang w:val="uk-UA"/>
        </w:rPr>
        <w:t xml:space="preserve"> </w:t>
      </w:r>
      <w:r w:rsidR="00B524B6" w:rsidRPr="00F60401">
        <w:rPr>
          <w:rFonts w:ascii="Arial Narrow" w:hAnsi="Arial Narrow"/>
          <w:sz w:val="24"/>
          <w:szCs w:val="24"/>
          <w:lang w:val="uk-UA"/>
        </w:rPr>
        <w:t>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затвердженої постановою Кабінету Міністрів України від 28.08.2013 року № 752 (далі - Методика)</w:t>
      </w:r>
      <w:r w:rsidR="000F0DA3" w:rsidRPr="00F60401">
        <w:rPr>
          <w:rFonts w:ascii="Arial Narrow" w:hAnsi="Arial Narrow"/>
          <w:sz w:val="24"/>
          <w:szCs w:val="24"/>
          <w:lang w:val="uk-UA"/>
        </w:rPr>
        <w:t xml:space="preserve">, </w:t>
      </w:r>
      <w:r w:rsidR="003803A3" w:rsidRPr="00F60401">
        <w:rPr>
          <w:rFonts w:ascii="Arial Narrow" w:hAnsi="Arial Narrow"/>
          <w:sz w:val="24"/>
          <w:szCs w:val="24"/>
          <w:lang w:val="uk-UA"/>
        </w:rPr>
        <w:t xml:space="preserve">передбачено, що </w:t>
      </w:r>
      <w:r w:rsidR="000E3011" w:rsidRPr="00F60401">
        <w:rPr>
          <w:rFonts w:ascii="Arial Narrow" w:hAnsi="Arial Narrow"/>
          <w:sz w:val="24"/>
          <w:szCs w:val="24"/>
          <w:lang w:val="uk-UA"/>
        </w:rPr>
        <w:t>к</w:t>
      </w:r>
      <w:r w:rsidR="000F0DA3" w:rsidRPr="00F60401">
        <w:rPr>
          <w:rFonts w:ascii="Arial Narrow" w:hAnsi="Arial Narrow"/>
          <w:sz w:val="24"/>
          <w:szCs w:val="24"/>
          <w:lang w:val="uk-UA"/>
        </w:rPr>
        <w:t>ритерії повинні визначати ступені ризику з урахуванням статистичних даних про настання негативних наслідків від провадження діяльності суб’єктів господарювання, порушення вимог законодавства.</w:t>
      </w:r>
    </w:p>
    <w:p w:rsidR="00194E4F" w:rsidRPr="00F60401" w:rsidRDefault="00194E4F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До ринків фінансових послуг належать професійні послуги на ринках банківських послуг, страхових послуг, інвестиційних послуг, операцій з цінними паперами та інших видах ринків, що забезпечують обіг фінансових активів</w:t>
      </w:r>
      <w:r w:rsidR="006539C5" w:rsidRPr="00F60401">
        <w:rPr>
          <w:rFonts w:ascii="Arial Narrow" w:hAnsi="Arial Narrow"/>
          <w:sz w:val="24"/>
          <w:szCs w:val="24"/>
          <w:lang w:val="uk-UA"/>
        </w:rPr>
        <w:t xml:space="preserve"> (стаття 1 Закону України «Про фінансові послуги та державне регулювання ринків фінансових послуг»).</w:t>
      </w:r>
    </w:p>
    <w:p w:rsidR="00EE0D9F" w:rsidRPr="00F60401" w:rsidRDefault="005F4EDD" w:rsidP="00EE0D9F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 xml:space="preserve">Отже, в сфері ринків фінансових послуг суб’єктом господарювання може бути вчинено безліч порушень вимог законодавства, які можуть бути суттєвими і несуттєвими, призводити до виникнення негативних наслідків і </w:t>
      </w:r>
      <w:r w:rsidR="000C1E7D" w:rsidRPr="00F60401">
        <w:rPr>
          <w:rFonts w:ascii="Arial Narrow" w:hAnsi="Arial Narrow"/>
          <w:sz w:val="24"/>
          <w:szCs w:val="24"/>
          <w:lang w:val="uk-UA"/>
        </w:rPr>
        <w:t>не призводити.</w:t>
      </w:r>
      <w:r w:rsidR="00EE0D9F" w:rsidRPr="00F60401">
        <w:rPr>
          <w:rFonts w:ascii="Arial Narrow" w:hAnsi="Arial Narrow"/>
          <w:sz w:val="24"/>
          <w:szCs w:val="24"/>
          <w:lang w:val="uk-UA"/>
        </w:rPr>
        <w:t xml:space="preserve"> Віднесення суб’єкт</w:t>
      </w:r>
      <w:r w:rsidR="001C67A9" w:rsidRPr="00F60401">
        <w:rPr>
          <w:rFonts w:ascii="Arial Narrow" w:hAnsi="Arial Narrow"/>
          <w:sz w:val="24"/>
          <w:szCs w:val="24"/>
          <w:lang w:val="uk-UA"/>
        </w:rPr>
        <w:t>а</w:t>
      </w:r>
      <w:r w:rsidR="00EE0D9F" w:rsidRPr="00F60401">
        <w:rPr>
          <w:rFonts w:ascii="Arial Narrow" w:hAnsi="Arial Narrow"/>
          <w:sz w:val="24"/>
          <w:szCs w:val="24"/>
          <w:lang w:val="uk-UA"/>
        </w:rPr>
        <w:t xml:space="preserve"> господарювання до високого ступеня ризику можливо тільки у тому випадку, коли вчинене ним порушення має суттєвий характер і може призвести до виникнення негативних наслідків. </w:t>
      </w:r>
      <w:r w:rsidR="00D53F71" w:rsidRPr="00F60401">
        <w:rPr>
          <w:rFonts w:ascii="Arial Narrow" w:hAnsi="Arial Narrow"/>
          <w:sz w:val="24"/>
          <w:szCs w:val="24"/>
          <w:lang w:val="uk-UA"/>
        </w:rPr>
        <w:t>Крім того, сфера ринків фінансових послуг стосується занадто великого кола суб’єктів господарювання.</w:t>
      </w:r>
      <w:r w:rsidR="00EE0D9F" w:rsidRPr="00F60401">
        <w:rPr>
          <w:rFonts w:ascii="Arial Narrow" w:hAnsi="Arial Narrow"/>
          <w:sz w:val="24"/>
          <w:szCs w:val="24"/>
          <w:lang w:val="uk-UA"/>
        </w:rPr>
        <w:t xml:space="preserve">  </w:t>
      </w:r>
    </w:p>
    <w:p w:rsidR="000C1E7D" w:rsidRPr="00F60401" w:rsidRDefault="000C1E7D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Отже, підпункт 7 пункту 3 Проекту потребує доопрацювання</w:t>
      </w:r>
      <w:r w:rsidR="00EE0D9F" w:rsidRPr="00F60401">
        <w:rPr>
          <w:rFonts w:ascii="Arial Narrow" w:hAnsi="Arial Narrow"/>
          <w:sz w:val="24"/>
          <w:szCs w:val="24"/>
          <w:lang w:val="uk-UA"/>
        </w:rPr>
        <w:t xml:space="preserve">, </w:t>
      </w:r>
      <w:r w:rsidRPr="00F60401">
        <w:rPr>
          <w:rFonts w:ascii="Arial Narrow" w:hAnsi="Arial Narrow"/>
          <w:sz w:val="24"/>
          <w:szCs w:val="24"/>
          <w:lang w:val="uk-UA"/>
        </w:rPr>
        <w:t xml:space="preserve">в частині зазначення </w:t>
      </w:r>
      <w:r w:rsidR="00EE0D9F" w:rsidRPr="00F60401">
        <w:rPr>
          <w:rFonts w:ascii="Arial Narrow" w:hAnsi="Arial Narrow"/>
          <w:sz w:val="24"/>
          <w:szCs w:val="24"/>
          <w:lang w:val="uk-UA"/>
        </w:rPr>
        <w:t xml:space="preserve">виключного </w:t>
      </w:r>
      <w:r w:rsidRPr="00F60401">
        <w:rPr>
          <w:rFonts w:ascii="Arial Narrow" w:hAnsi="Arial Narrow"/>
          <w:sz w:val="24"/>
          <w:szCs w:val="24"/>
          <w:lang w:val="uk-UA"/>
        </w:rPr>
        <w:t>переліку порушень законодавства у сфері ринків фінансових послуг</w:t>
      </w:r>
      <w:r w:rsidR="00EE0D9F" w:rsidRPr="00F60401">
        <w:rPr>
          <w:rFonts w:ascii="Arial Narrow" w:hAnsi="Arial Narrow"/>
          <w:sz w:val="24"/>
          <w:szCs w:val="24"/>
          <w:lang w:val="uk-UA"/>
        </w:rPr>
        <w:t>, які мають бути суттєвими та можуть призвести до виникнення негативних наслідків</w:t>
      </w:r>
      <w:r w:rsidR="00C00BF7" w:rsidRPr="00F60401">
        <w:rPr>
          <w:rFonts w:ascii="Arial Narrow" w:hAnsi="Arial Narrow"/>
          <w:sz w:val="24"/>
          <w:szCs w:val="24"/>
          <w:lang w:val="uk-UA"/>
        </w:rPr>
        <w:t>,</w:t>
      </w:r>
      <w:r w:rsidR="003E2EA5" w:rsidRPr="00F60401">
        <w:rPr>
          <w:rFonts w:ascii="Arial Narrow" w:hAnsi="Arial Narrow"/>
          <w:sz w:val="24"/>
          <w:szCs w:val="24"/>
          <w:lang w:val="uk-UA"/>
        </w:rPr>
        <w:t xml:space="preserve"> та конкретного </w:t>
      </w:r>
      <w:r w:rsidR="00E75FD4" w:rsidRPr="00F60401">
        <w:rPr>
          <w:rFonts w:ascii="Arial Narrow" w:hAnsi="Arial Narrow"/>
          <w:sz w:val="24"/>
          <w:szCs w:val="24"/>
          <w:lang w:val="uk-UA"/>
        </w:rPr>
        <w:t>кола учасників ринків фінансових послуг, які можуть вчин</w:t>
      </w:r>
      <w:r w:rsidR="001C67A9" w:rsidRPr="00F60401">
        <w:rPr>
          <w:rFonts w:ascii="Arial Narrow" w:hAnsi="Arial Narrow"/>
          <w:sz w:val="24"/>
          <w:szCs w:val="24"/>
          <w:lang w:val="uk-UA"/>
        </w:rPr>
        <w:t xml:space="preserve">ити </w:t>
      </w:r>
      <w:r w:rsidR="00E75FD4" w:rsidRPr="00F60401">
        <w:rPr>
          <w:rFonts w:ascii="Arial Narrow" w:hAnsi="Arial Narrow"/>
          <w:sz w:val="24"/>
          <w:szCs w:val="24"/>
          <w:lang w:val="uk-UA"/>
        </w:rPr>
        <w:t>порушення у сфері ринків фінансових послуг</w:t>
      </w:r>
      <w:r w:rsidR="00EE0D9F" w:rsidRPr="00F60401">
        <w:rPr>
          <w:rFonts w:ascii="Arial Narrow" w:hAnsi="Arial Narrow"/>
          <w:sz w:val="24"/>
          <w:szCs w:val="24"/>
          <w:lang w:val="uk-UA"/>
        </w:rPr>
        <w:t>.</w:t>
      </w:r>
    </w:p>
    <w:p w:rsidR="00D9213D" w:rsidRPr="00F60401" w:rsidRDefault="00D9213D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sz w:val="24"/>
          <w:szCs w:val="24"/>
          <w:lang w:val="uk-UA"/>
        </w:rPr>
        <w:t>Слід зазначити, що вищезазначені зауваження стосуються і підпункту 7 пункту 4 Проекту.</w:t>
      </w:r>
    </w:p>
    <w:p w:rsidR="00BC3B44" w:rsidRPr="00F60401" w:rsidRDefault="0086730F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F60401">
        <w:rPr>
          <w:rFonts w:ascii="Arial Narrow" w:hAnsi="Arial Narrow"/>
          <w:b/>
          <w:sz w:val="24"/>
          <w:szCs w:val="24"/>
          <w:lang w:val="uk-UA"/>
        </w:rPr>
        <w:t>6</w:t>
      </w:r>
      <w:r w:rsidR="00AE256E" w:rsidRPr="00F60401">
        <w:rPr>
          <w:rFonts w:ascii="Arial Narrow" w:hAnsi="Arial Narrow"/>
          <w:b/>
          <w:sz w:val="24"/>
          <w:szCs w:val="24"/>
          <w:lang w:val="uk-UA"/>
        </w:rPr>
        <w:t xml:space="preserve">. </w:t>
      </w:r>
      <w:r w:rsidR="003B1079" w:rsidRPr="00F60401">
        <w:rPr>
          <w:rFonts w:ascii="Arial Narrow" w:hAnsi="Arial Narrow"/>
          <w:sz w:val="24"/>
          <w:szCs w:val="24"/>
          <w:lang w:val="uk-UA"/>
        </w:rPr>
        <w:t xml:space="preserve">Періодичність планових заходів державного нагляду (контролю), запропонована в пункті 6 Проекту, не відповідає періодичності, яка встановлена Методикою, тому </w:t>
      </w:r>
      <w:r w:rsidR="00B237A3" w:rsidRPr="00F60401">
        <w:rPr>
          <w:rFonts w:ascii="Arial Narrow" w:hAnsi="Arial Narrow"/>
          <w:sz w:val="24"/>
          <w:szCs w:val="24"/>
          <w:lang w:val="uk-UA"/>
        </w:rPr>
        <w:t>пункт 6 Проекту потребує приведенню у відповідність до норм Методики.</w:t>
      </w:r>
    </w:p>
    <w:sectPr w:rsidR="00BC3B44" w:rsidRPr="00F60401" w:rsidSect="00803F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3"/>
    <w:rsid w:val="00002670"/>
    <w:rsid w:val="00016B0B"/>
    <w:rsid w:val="0002046A"/>
    <w:rsid w:val="0002633C"/>
    <w:rsid w:val="00061623"/>
    <w:rsid w:val="00084914"/>
    <w:rsid w:val="000B2542"/>
    <w:rsid w:val="000C1E7D"/>
    <w:rsid w:val="000C51B3"/>
    <w:rsid w:val="000D3E3E"/>
    <w:rsid w:val="000E3011"/>
    <w:rsid w:val="000F0DA3"/>
    <w:rsid w:val="000F333D"/>
    <w:rsid w:val="00102D11"/>
    <w:rsid w:val="0010699A"/>
    <w:rsid w:val="0011163B"/>
    <w:rsid w:val="00115589"/>
    <w:rsid w:val="00125802"/>
    <w:rsid w:val="00142A5D"/>
    <w:rsid w:val="001448F7"/>
    <w:rsid w:val="00145C0A"/>
    <w:rsid w:val="00163DDC"/>
    <w:rsid w:val="001732EA"/>
    <w:rsid w:val="00175350"/>
    <w:rsid w:val="0019125E"/>
    <w:rsid w:val="00194E4F"/>
    <w:rsid w:val="001C67A9"/>
    <w:rsid w:val="001C7223"/>
    <w:rsid w:val="001D6305"/>
    <w:rsid w:val="001E2A75"/>
    <w:rsid w:val="001F21EC"/>
    <w:rsid w:val="001F2299"/>
    <w:rsid w:val="00200C17"/>
    <w:rsid w:val="0020198C"/>
    <w:rsid w:val="00213A19"/>
    <w:rsid w:val="00213F1E"/>
    <w:rsid w:val="00221EC2"/>
    <w:rsid w:val="002220DA"/>
    <w:rsid w:val="00237A55"/>
    <w:rsid w:val="0024431C"/>
    <w:rsid w:val="00246615"/>
    <w:rsid w:val="00251299"/>
    <w:rsid w:val="00275D12"/>
    <w:rsid w:val="00291600"/>
    <w:rsid w:val="00295B26"/>
    <w:rsid w:val="002A07CE"/>
    <w:rsid w:val="002C01BA"/>
    <w:rsid w:val="002C336B"/>
    <w:rsid w:val="002E7E4B"/>
    <w:rsid w:val="002F3A96"/>
    <w:rsid w:val="002F4007"/>
    <w:rsid w:val="002F4698"/>
    <w:rsid w:val="0030459E"/>
    <w:rsid w:val="00307995"/>
    <w:rsid w:val="00310B76"/>
    <w:rsid w:val="003572C8"/>
    <w:rsid w:val="003673CD"/>
    <w:rsid w:val="00370DA0"/>
    <w:rsid w:val="003803A3"/>
    <w:rsid w:val="003832D5"/>
    <w:rsid w:val="0038545C"/>
    <w:rsid w:val="003A70C2"/>
    <w:rsid w:val="003B1079"/>
    <w:rsid w:val="003D372A"/>
    <w:rsid w:val="003E2EA5"/>
    <w:rsid w:val="0040588D"/>
    <w:rsid w:val="00415529"/>
    <w:rsid w:val="00426DD2"/>
    <w:rsid w:val="00461D82"/>
    <w:rsid w:val="00462421"/>
    <w:rsid w:val="0047397E"/>
    <w:rsid w:val="00475546"/>
    <w:rsid w:val="0048528B"/>
    <w:rsid w:val="00487352"/>
    <w:rsid w:val="004916A8"/>
    <w:rsid w:val="00491D78"/>
    <w:rsid w:val="004B5B3E"/>
    <w:rsid w:val="004C01F8"/>
    <w:rsid w:val="004C7169"/>
    <w:rsid w:val="004C7A67"/>
    <w:rsid w:val="004D1560"/>
    <w:rsid w:val="004D4B5C"/>
    <w:rsid w:val="004D61E2"/>
    <w:rsid w:val="004E3761"/>
    <w:rsid w:val="004F312A"/>
    <w:rsid w:val="005026C7"/>
    <w:rsid w:val="0050329F"/>
    <w:rsid w:val="00504342"/>
    <w:rsid w:val="00510A7B"/>
    <w:rsid w:val="00515FD5"/>
    <w:rsid w:val="00516DA1"/>
    <w:rsid w:val="00523B8C"/>
    <w:rsid w:val="005564CD"/>
    <w:rsid w:val="005642CB"/>
    <w:rsid w:val="00574F13"/>
    <w:rsid w:val="005757FD"/>
    <w:rsid w:val="00575D3A"/>
    <w:rsid w:val="005760BC"/>
    <w:rsid w:val="0058308B"/>
    <w:rsid w:val="005871BE"/>
    <w:rsid w:val="00591B7A"/>
    <w:rsid w:val="00596F85"/>
    <w:rsid w:val="005A1B7F"/>
    <w:rsid w:val="005A2277"/>
    <w:rsid w:val="005A67F4"/>
    <w:rsid w:val="005B5C02"/>
    <w:rsid w:val="005C1622"/>
    <w:rsid w:val="005C5C5F"/>
    <w:rsid w:val="005C65B2"/>
    <w:rsid w:val="005D4851"/>
    <w:rsid w:val="005D7B50"/>
    <w:rsid w:val="005F4EDD"/>
    <w:rsid w:val="0061277D"/>
    <w:rsid w:val="00615C44"/>
    <w:rsid w:val="00620937"/>
    <w:rsid w:val="00630FCF"/>
    <w:rsid w:val="0063118B"/>
    <w:rsid w:val="00637891"/>
    <w:rsid w:val="0065389B"/>
    <w:rsid w:val="006539C5"/>
    <w:rsid w:val="006564D6"/>
    <w:rsid w:val="00660EEE"/>
    <w:rsid w:val="006656DF"/>
    <w:rsid w:val="006B532C"/>
    <w:rsid w:val="006C0129"/>
    <w:rsid w:val="006C181F"/>
    <w:rsid w:val="006E195E"/>
    <w:rsid w:val="00705223"/>
    <w:rsid w:val="00705A67"/>
    <w:rsid w:val="00722C61"/>
    <w:rsid w:val="007523F4"/>
    <w:rsid w:val="0077509B"/>
    <w:rsid w:val="00794A21"/>
    <w:rsid w:val="00796C4A"/>
    <w:rsid w:val="007A06A7"/>
    <w:rsid w:val="007A09DD"/>
    <w:rsid w:val="007B04FA"/>
    <w:rsid w:val="007B1AE2"/>
    <w:rsid w:val="007B5D99"/>
    <w:rsid w:val="007C12E9"/>
    <w:rsid w:val="007C349B"/>
    <w:rsid w:val="007C3AC0"/>
    <w:rsid w:val="007D2693"/>
    <w:rsid w:val="007D3328"/>
    <w:rsid w:val="007E7E64"/>
    <w:rsid w:val="007F4580"/>
    <w:rsid w:val="007F6E9D"/>
    <w:rsid w:val="00803FA3"/>
    <w:rsid w:val="0082602A"/>
    <w:rsid w:val="00831BE4"/>
    <w:rsid w:val="00835583"/>
    <w:rsid w:val="008456E8"/>
    <w:rsid w:val="0086593B"/>
    <w:rsid w:val="0086730F"/>
    <w:rsid w:val="00873749"/>
    <w:rsid w:val="00890B7E"/>
    <w:rsid w:val="00896353"/>
    <w:rsid w:val="008B000F"/>
    <w:rsid w:val="008C02DA"/>
    <w:rsid w:val="008C49CE"/>
    <w:rsid w:val="008E648F"/>
    <w:rsid w:val="00904A07"/>
    <w:rsid w:val="00907BA4"/>
    <w:rsid w:val="00914311"/>
    <w:rsid w:val="00932FA5"/>
    <w:rsid w:val="00936F6D"/>
    <w:rsid w:val="0094421D"/>
    <w:rsid w:val="009469D5"/>
    <w:rsid w:val="00950F1B"/>
    <w:rsid w:val="00955D9F"/>
    <w:rsid w:val="00966D9C"/>
    <w:rsid w:val="009709BB"/>
    <w:rsid w:val="00973626"/>
    <w:rsid w:val="009837E9"/>
    <w:rsid w:val="00984236"/>
    <w:rsid w:val="00991AA9"/>
    <w:rsid w:val="00994754"/>
    <w:rsid w:val="009961BC"/>
    <w:rsid w:val="009977F4"/>
    <w:rsid w:val="009C6AA0"/>
    <w:rsid w:val="009C7ABB"/>
    <w:rsid w:val="009D0F32"/>
    <w:rsid w:val="009D4897"/>
    <w:rsid w:val="00A13F5B"/>
    <w:rsid w:val="00A16EF1"/>
    <w:rsid w:val="00A5355F"/>
    <w:rsid w:val="00A757CD"/>
    <w:rsid w:val="00A808AF"/>
    <w:rsid w:val="00AA03FF"/>
    <w:rsid w:val="00AB5E16"/>
    <w:rsid w:val="00AE256E"/>
    <w:rsid w:val="00AE3463"/>
    <w:rsid w:val="00AF110F"/>
    <w:rsid w:val="00AF149D"/>
    <w:rsid w:val="00B01196"/>
    <w:rsid w:val="00B01FA5"/>
    <w:rsid w:val="00B237A3"/>
    <w:rsid w:val="00B34E7A"/>
    <w:rsid w:val="00B524B6"/>
    <w:rsid w:val="00B57584"/>
    <w:rsid w:val="00B60FD5"/>
    <w:rsid w:val="00B6195A"/>
    <w:rsid w:val="00B80E17"/>
    <w:rsid w:val="00B91D0E"/>
    <w:rsid w:val="00BC32A8"/>
    <w:rsid w:val="00BC3B44"/>
    <w:rsid w:val="00BC3DC7"/>
    <w:rsid w:val="00BC50A2"/>
    <w:rsid w:val="00BD08CB"/>
    <w:rsid w:val="00C00BF7"/>
    <w:rsid w:val="00C045A6"/>
    <w:rsid w:val="00C06CEC"/>
    <w:rsid w:val="00C14613"/>
    <w:rsid w:val="00C17630"/>
    <w:rsid w:val="00C31105"/>
    <w:rsid w:val="00C32E86"/>
    <w:rsid w:val="00C36751"/>
    <w:rsid w:val="00C37908"/>
    <w:rsid w:val="00C4663E"/>
    <w:rsid w:val="00C521EA"/>
    <w:rsid w:val="00C54E18"/>
    <w:rsid w:val="00C71546"/>
    <w:rsid w:val="00C72364"/>
    <w:rsid w:val="00C8211F"/>
    <w:rsid w:val="00C9072D"/>
    <w:rsid w:val="00CC54AA"/>
    <w:rsid w:val="00CE071E"/>
    <w:rsid w:val="00CE3A04"/>
    <w:rsid w:val="00D03A42"/>
    <w:rsid w:val="00D1057F"/>
    <w:rsid w:val="00D1398A"/>
    <w:rsid w:val="00D206A2"/>
    <w:rsid w:val="00D248B6"/>
    <w:rsid w:val="00D27DDE"/>
    <w:rsid w:val="00D34093"/>
    <w:rsid w:val="00D34509"/>
    <w:rsid w:val="00D42AA6"/>
    <w:rsid w:val="00D52226"/>
    <w:rsid w:val="00D536C8"/>
    <w:rsid w:val="00D53F71"/>
    <w:rsid w:val="00D54D68"/>
    <w:rsid w:val="00D55FA4"/>
    <w:rsid w:val="00D6185E"/>
    <w:rsid w:val="00D7271A"/>
    <w:rsid w:val="00D73B1B"/>
    <w:rsid w:val="00D752DC"/>
    <w:rsid w:val="00D9213D"/>
    <w:rsid w:val="00DA0358"/>
    <w:rsid w:val="00DA560E"/>
    <w:rsid w:val="00DD5D27"/>
    <w:rsid w:val="00E103DF"/>
    <w:rsid w:val="00E13AF1"/>
    <w:rsid w:val="00E15582"/>
    <w:rsid w:val="00E15787"/>
    <w:rsid w:val="00E26951"/>
    <w:rsid w:val="00E32900"/>
    <w:rsid w:val="00E36BBA"/>
    <w:rsid w:val="00E52514"/>
    <w:rsid w:val="00E56F9E"/>
    <w:rsid w:val="00E6087A"/>
    <w:rsid w:val="00E73A2B"/>
    <w:rsid w:val="00E75FD4"/>
    <w:rsid w:val="00E82999"/>
    <w:rsid w:val="00E904F9"/>
    <w:rsid w:val="00EA33B8"/>
    <w:rsid w:val="00EB2582"/>
    <w:rsid w:val="00EC4A07"/>
    <w:rsid w:val="00ED357F"/>
    <w:rsid w:val="00ED423C"/>
    <w:rsid w:val="00ED661B"/>
    <w:rsid w:val="00EE0D9F"/>
    <w:rsid w:val="00EE331B"/>
    <w:rsid w:val="00EE4DD5"/>
    <w:rsid w:val="00EE64EB"/>
    <w:rsid w:val="00F04F93"/>
    <w:rsid w:val="00F116EE"/>
    <w:rsid w:val="00F117E8"/>
    <w:rsid w:val="00F1732C"/>
    <w:rsid w:val="00F31409"/>
    <w:rsid w:val="00F4159E"/>
    <w:rsid w:val="00F55C7C"/>
    <w:rsid w:val="00F574C1"/>
    <w:rsid w:val="00F60401"/>
    <w:rsid w:val="00F66614"/>
    <w:rsid w:val="00F734A6"/>
    <w:rsid w:val="00F742C6"/>
    <w:rsid w:val="00F83306"/>
    <w:rsid w:val="00F84588"/>
    <w:rsid w:val="00FA527D"/>
    <w:rsid w:val="00FD05AD"/>
    <w:rsid w:val="00FD15A3"/>
    <w:rsid w:val="00FD1F83"/>
    <w:rsid w:val="00FD6441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0F6A-60C9-4A64-8BC0-5E7F8EF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42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C6"/>
    <w:rPr>
      <w:color w:val="0000FF"/>
      <w:u w:val="single"/>
    </w:rPr>
  </w:style>
  <w:style w:type="paragraph" w:customStyle="1" w:styleId="rvps12">
    <w:name w:val="rvps12"/>
    <w:basedOn w:val="a"/>
    <w:rsid w:val="00C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045A6"/>
  </w:style>
  <w:style w:type="character" w:customStyle="1" w:styleId="apple-converted-space">
    <w:name w:val="apple-converted-space"/>
    <w:basedOn w:val="a0"/>
    <w:rsid w:val="00C045A6"/>
  </w:style>
  <w:style w:type="paragraph" w:customStyle="1" w:styleId="rvps6">
    <w:name w:val="rvps6"/>
    <w:basedOn w:val="a"/>
    <w:rsid w:val="00C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045A6"/>
  </w:style>
  <w:style w:type="paragraph" w:customStyle="1" w:styleId="rvps2">
    <w:name w:val="rvps2"/>
    <w:basedOn w:val="a"/>
    <w:rsid w:val="00D2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33D"/>
    <w:pPr>
      <w:ind w:left="720"/>
      <w:contextualSpacing/>
    </w:pPr>
  </w:style>
  <w:style w:type="paragraph" w:customStyle="1" w:styleId="rvps14">
    <w:name w:val="rvps14"/>
    <w:basedOn w:val="a"/>
    <w:rsid w:val="0070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ED9A-DADB-48D9-B779-3A44ADD1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Leonid Lytvynenko</cp:lastModifiedBy>
  <cp:revision>2</cp:revision>
  <cp:lastPrinted>2016-02-15T16:00:00Z</cp:lastPrinted>
  <dcterms:created xsi:type="dcterms:W3CDTF">2016-12-15T12:08:00Z</dcterms:created>
  <dcterms:modified xsi:type="dcterms:W3CDTF">2016-12-15T12:08:00Z</dcterms:modified>
</cp:coreProperties>
</file>