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B3" w:rsidRPr="0011163B" w:rsidRDefault="005C1622" w:rsidP="005C1622">
      <w:pPr>
        <w:jc w:val="center"/>
        <w:rPr>
          <w:rFonts w:ascii="Arial Narrow" w:hAnsi="Arial Narrow"/>
          <w:b/>
          <w:sz w:val="24"/>
          <w:szCs w:val="24"/>
          <w:lang w:val="uk-UA"/>
        </w:rPr>
      </w:pPr>
      <w:bookmarkStart w:id="0" w:name="_GoBack"/>
      <w:bookmarkEnd w:id="0"/>
      <w:r w:rsidRPr="0011163B">
        <w:rPr>
          <w:rFonts w:ascii="Arial Narrow" w:hAnsi="Arial Narrow"/>
          <w:b/>
          <w:sz w:val="24"/>
          <w:szCs w:val="24"/>
          <w:lang w:val="uk-UA"/>
        </w:rPr>
        <w:t xml:space="preserve">Зауваження до </w:t>
      </w:r>
      <w:r w:rsidR="00C54E18" w:rsidRPr="0011163B">
        <w:rPr>
          <w:rFonts w:ascii="Arial Narrow" w:hAnsi="Arial Narrow"/>
          <w:b/>
          <w:sz w:val="24"/>
          <w:szCs w:val="24"/>
          <w:lang w:val="uk-UA"/>
        </w:rPr>
        <w:t xml:space="preserve">проекту постанови Кабінету Міністрів України «Про </w:t>
      </w:r>
      <w:r w:rsidR="00491D78" w:rsidRPr="0011163B">
        <w:rPr>
          <w:rFonts w:ascii="Arial Narrow" w:hAnsi="Arial Narrow"/>
          <w:b/>
          <w:sz w:val="24"/>
          <w:szCs w:val="24"/>
          <w:lang w:val="uk-UA"/>
        </w:rPr>
        <w:t>затвердження критеріїв, за якими оцінюється ступінь ризику від провадження господарської діяльності з поводження з небезпечними відходами та визначається періодичність здійснення планових заходів державного нагляду (контролю) Міністерством екології та природних ресурсів України</w:t>
      </w:r>
      <w:r w:rsidR="00C54E18" w:rsidRPr="0011163B">
        <w:rPr>
          <w:rFonts w:ascii="Arial Narrow" w:hAnsi="Arial Narrow"/>
          <w:b/>
          <w:sz w:val="24"/>
          <w:szCs w:val="24"/>
          <w:lang w:val="uk-UA"/>
        </w:rPr>
        <w:t xml:space="preserve">» </w:t>
      </w:r>
      <w:r w:rsidR="006564D6">
        <w:rPr>
          <w:rFonts w:ascii="Arial Narrow" w:hAnsi="Arial Narrow"/>
          <w:b/>
          <w:sz w:val="24"/>
          <w:szCs w:val="24"/>
          <w:lang w:val="uk-UA"/>
        </w:rPr>
        <w:t xml:space="preserve">               </w:t>
      </w:r>
      <w:r w:rsidR="00C54E18" w:rsidRPr="0011163B">
        <w:rPr>
          <w:rFonts w:ascii="Arial Narrow" w:hAnsi="Arial Narrow"/>
          <w:b/>
          <w:sz w:val="24"/>
          <w:szCs w:val="24"/>
          <w:lang w:val="uk-UA"/>
        </w:rPr>
        <w:t>(далі – Проект постанови)</w:t>
      </w:r>
    </w:p>
    <w:p w:rsidR="00794A21" w:rsidRPr="0011163B" w:rsidRDefault="000F333D" w:rsidP="0002046A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b/>
          <w:sz w:val="24"/>
          <w:szCs w:val="24"/>
          <w:lang w:val="uk-UA"/>
        </w:rPr>
        <w:t>1.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462421">
        <w:rPr>
          <w:rFonts w:ascii="Arial Narrow" w:hAnsi="Arial Narrow"/>
          <w:sz w:val="24"/>
          <w:szCs w:val="24"/>
          <w:lang w:val="uk-UA"/>
        </w:rPr>
        <w:t xml:space="preserve">Пунктом 1 </w:t>
      </w:r>
      <w:r w:rsidR="00C54E18" w:rsidRPr="0011163B">
        <w:rPr>
          <w:rFonts w:ascii="Arial Narrow" w:hAnsi="Arial Narrow"/>
          <w:sz w:val="24"/>
          <w:szCs w:val="24"/>
          <w:lang w:val="uk-UA"/>
        </w:rPr>
        <w:t>Проект</w:t>
      </w:r>
      <w:r w:rsidR="00462421">
        <w:rPr>
          <w:rFonts w:ascii="Arial Narrow" w:hAnsi="Arial Narrow"/>
          <w:sz w:val="24"/>
          <w:szCs w:val="24"/>
          <w:lang w:val="uk-UA"/>
        </w:rPr>
        <w:t>у</w:t>
      </w:r>
      <w:r w:rsidR="00C54E18" w:rsidRPr="0011163B">
        <w:rPr>
          <w:rFonts w:ascii="Arial Narrow" w:hAnsi="Arial Narrow"/>
          <w:sz w:val="24"/>
          <w:szCs w:val="24"/>
          <w:lang w:val="uk-UA"/>
        </w:rPr>
        <w:t xml:space="preserve"> постанови </w:t>
      </w:r>
      <w:r w:rsidR="00B01FA5" w:rsidRPr="0011163B">
        <w:rPr>
          <w:rFonts w:ascii="Arial Narrow" w:hAnsi="Arial Narrow"/>
          <w:sz w:val="24"/>
          <w:szCs w:val="24"/>
          <w:lang w:val="uk-UA"/>
        </w:rPr>
        <w:t>в якості критерію, за яким оцінюється ступінь ризику від провадження господарської діяльності з поводження з небезпечними відходами, пропонується визначити операції поводження з небезпечними відходами</w:t>
      </w:r>
      <w:r w:rsidR="00794A21" w:rsidRPr="0011163B">
        <w:rPr>
          <w:rFonts w:ascii="Arial Narrow" w:hAnsi="Arial Narrow"/>
          <w:sz w:val="24"/>
          <w:szCs w:val="24"/>
          <w:lang w:val="uk-UA"/>
        </w:rPr>
        <w:t>.</w:t>
      </w:r>
    </w:p>
    <w:p w:rsidR="00596F85" w:rsidRPr="0011163B" w:rsidRDefault="00B01FA5" w:rsidP="0002046A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 xml:space="preserve">Проте операції поводження з небезпечними відходами не може бути визначено </w:t>
      </w:r>
      <w:r w:rsidR="00246615" w:rsidRPr="0011163B">
        <w:rPr>
          <w:rFonts w:ascii="Arial Narrow" w:hAnsi="Arial Narrow"/>
          <w:sz w:val="24"/>
          <w:szCs w:val="24"/>
          <w:lang w:val="uk-UA"/>
        </w:rPr>
        <w:t>в якості критерію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 ризику, оскільки відповідно до </w:t>
      </w:r>
      <w:r w:rsidR="00246615" w:rsidRPr="0011163B">
        <w:rPr>
          <w:rFonts w:ascii="Arial Narrow" w:hAnsi="Arial Narrow"/>
          <w:sz w:val="24"/>
          <w:szCs w:val="24"/>
          <w:lang w:val="uk-UA"/>
        </w:rPr>
        <w:t xml:space="preserve">статті 7 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Закону України «Про ліцензування видів господарської діяльності» (далі – Закон про ліцензування) </w:t>
      </w:r>
      <w:r w:rsidR="00246615" w:rsidRPr="0011163B">
        <w:rPr>
          <w:rFonts w:ascii="Arial Narrow" w:hAnsi="Arial Narrow"/>
          <w:sz w:val="24"/>
          <w:szCs w:val="24"/>
          <w:lang w:val="uk-UA"/>
        </w:rPr>
        <w:t>ліцензуванню підляга</w:t>
      </w:r>
      <w:r w:rsidR="00973626" w:rsidRPr="0011163B">
        <w:rPr>
          <w:rFonts w:ascii="Arial Narrow" w:hAnsi="Arial Narrow"/>
          <w:sz w:val="24"/>
          <w:szCs w:val="24"/>
          <w:lang w:val="uk-UA"/>
        </w:rPr>
        <w:t>ють не операції поводження з небезпечними відходами, а</w:t>
      </w:r>
      <w:r w:rsidR="00246615" w:rsidRPr="0011163B">
        <w:rPr>
          <w:rFonts w:ascii="Arial Narrow" w:hAnsi="Arial Narrow"/>
          <w:sz w:val="24"/>
          <w:szCs w:val="24"/>
          <w:lang w:val="uk-UA"/>
        </w:rPr>
        <w:t xml:space="preserve"> поводження з небезпечними відходами.</w:t>
      </w:r>
      <w:r w:rsidR="00596F85" w:rsidRPr="0011163B"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213A19" w:rsidRPr="0011163B" w:rsidRDefault="00213A19" w:rsidP="0002046A">
      <w:pPr>
        <w:spacing w:after="0" w:line="0" w:lineRule="atLeast"/>
        <w:ind w:firstLine="567"/>
        <w:jc w:val="both"/>
        <w:rPr>
          <w:rFonts w:ascii="Arial Narrow" w:hAnsi="Arial Narrow" w:cs="Arial"/>
          <w:sz w:val="24"/>
          <w:szCs w:val="24"/>
          <w:lang w:val="uk-UA"/>
        </w:rPr>
      </w:pPr>
      <w:r w:rsidRPr="0011163B">
        <w:rPr>
          <w:rFonts w:ascii="Arial Narrow" w:hAnsi="Arial Narrow" w:cs="Arial"/>
          <w:sz w:val="24"/>
          <w:szCs w:val="24"/>
          <w:lang w:val="uk-UA"/>
        </w:rPr>
        <w:t xml:space="preserve">Статтею 1 Закону України «Про відходи» передбачено, що поводження з відходами - дії, спрямовані на запобігання утворенню відходів, їх збирання, перевезення, сортування, зберігання, оброблення, перероблення, утилізацію, видалення, знешкодження і захоронення, включаючи контроль за цими операціями та нагляд за місцями видалення. </w:t>
      </w:r>
    </w:p>
    <w:p w:rsidR="00213A19" w:rsidRPr="0011163B" w:rsidRDefault="00213A19" w:rsidP="00B01196">
      <w:pPr>
        <w:spacing w:after="0" w:line="0" w:lineRule="atLeast"/>
        <w:ind w:firstLine="567"/>
        <w:jc w:val="both"/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</w:pPr>
      <w:r w:rsidRPr="0011163B">
        <w:rPr>
          <w:rFonts w:ascii="Arial Narrow" w:hAnsi="Arial Narrow" w:cs="Arial"/>
          <w:sz w:val="24"/>
          <w:szCs w:val="24"/>
          <w:lang w:val="uk-UA"/>
        </w:rPr>
        <w:t xml:space="preserve">В свою чергу, поняття операції поводження з відходами, вужче ніж поводження з відходами. Так, згідно зі статтею 1 Закону України «Про відходи», операції поводження з відходами - </w:t>
      </w:r>
      <w:r w:rsidRPr="0011163B">
        <w:rPr>
          <w:rFonts w:ascii="Arial Narrow" w:eastAsia="Times New Roman" w:hAnsi="Arial Narrow" w:cs="Courier New"/>
          <w:color w:val="000000"/>
          <w:sz w:val="24"/>
          <w:szCs w:val="24"/>
          <w:lang w:val="uk-UA" w:eastAsia="ru-RU"/>
        </w:rPr>
        <w:t xml:space="preserve">збирання, перевезення, зберігання, сортування, оброблення (перероблення), утилізація, видалення, знешкодження і захоронення відходів. </w:t>
      </w:r>
    </w:p>
    <w:p w:rsidR="00213A19" w:rsidRPr="0011163B" w:rsidRDefault="003D372A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 xml:space="preserve">З огляду на зазначене, </w:t>
      </w:r>
      <w:r w:rsidR="00FD6441" w:rsidRPr="0011163B">
        <w:rPr>
          <w:rFonts w:ascii="Arial Narrow" w:hAnsi="Arial Narrow"/>
          <w:sz w:val="24"/>
          <w:szCs w:val="24"/>
          <w:lang w:val="uk-UA"/>
        </w:rPr>
        <w:t>цей критерій</w:t>
      </w:r>
      <w:r w:rsidR="00115589" w:rsidRPr="0011163B">
        <w:rPr>
          <w:rFonts w:ascii="Arial Narrow" w:hAnsi="Arial Narrow"/>
          <w:sz w:val="24"/>
          <w:szCs w:val="24"/>
          <w:lang w:val="uk-UA"/>
        </w:rPr>
        <w:t xml:space="preserve"> ризику в Проекті постанови </w:t>
      </w:r>
      <w:r w:rsidR="005B5C02" w:rsidRPr="0011163B">
        <w:rPr>
          <w:rFonts w:ascii="Arial Narrow" w:hAnsi="Arial Narrow"/>
          <w:sz w:val="24"/>
          <w:szCs w:val="24"/>
          <w:lang w:val="uk-UA"/>
        </w:rPr>
        <w:t>пропонуємо</w:t>
      </w:r>
      <w:r w:rsidR="00115589" w:rsidRPr="0011163B">
        <w:rPr>
          <w:rFonts w:ascii="Arial Narrow" w:hAnsi="Arial Narrow"/>
          <w:sz w:val="24"/>
          <w:szCs w:val="24"/>
          <w:lang w:val="uk-UA"/>
        </w:rPr>
        <w:t xml:space="preserve"> сформ</w:t>
      </w:r>
      <w:r w:rsidR="005B5C02" w:rsidRPr="0011163B">
        <w:rPr>
          <w:rFonts w:ascii="Arial Narrow" w:hAnsi="Arial Narrow"/>
          <w:sz w:val="24"/>
          <w:szCs w:val="24"/>
          <w:lang w:val="uk-UA"/>
        </w:rPr>
        <w:t>увати</w:t>
      </w:r>
      <w:r w:rsidR="00115589" w:rsidRPr="0011163B">
        <w:rPr>
          <w:rFonts w:ascii="Arial Narrow" w:hAnsi="Arial Narrow"/>
          <w:sz w:val="24"/>
          <w:szCs w:val="24"/>
          <w:lang w:val="uk-UA"/>
        </w:rPr>
        <w:t xml:space="preserve"> з урахуванням </w:t>
      </w:r>
      <w:r w:rsidR="00145C0A" w:rsidRPr="0011163B">
        <w:rPr>
          <w:rFonts w:ascii="Arial Narrow" w:hAnsi="Arial Narrow"/>
          <w:sz w:val="24"/>
          <w:szCs w:val="24"/>
          <w:lang w:val="uk-UA"/>
        </w:rPr>
        <w:t xml:space="preserve">положень </w:t>
      </w:r>
      <w:r w:rsidR="00115589" w:rsidRPr="0011163B">
        <w:rPr>
          <w:rFonts w:ascii="Arial Narrow" w:hAnsi="Arial Narrow"/>
          <w:sz w:val="24"/>
          <w:szCs w:val="24"/>
          <w:lang w:val="uk-UA"/>
        </w:rPr>
        <w:t>Закону про ліцензування.</w:t>
      </w:r>
    </w:p>
    <w:p w:rsidR="00ED661B" w:rsidRPr="0011163B" w:rsidRDefault="00ED661B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2C01BA" w:rsidRPr="0011163B" w:rsidRDefault="002C01BA" w:rsidP="00B01196">
      <w:pPr>
        <w:spacing w:after="0" w:line="0" w:lineRule="atLeast"/>
        <w:ind w:firstLine="567"/>
        <w:jc w:val="both"/>
        <w:rPr>
          <w:rFonts w:ascii="Arial Narrow" w:hAnsi="Arial Narrow"/>
          <w:b/>
          <w:sz w:val="24"/>
          <w:szCs w:val="24"/>
          <w:lang w:val="uk-UA"/>
        </w:rPr>
      </w:pPr>
      <w:r w:rsidRPr="0011163B">
        <w:rPr>
          <w:rFonts w:ascii="Arial Narrow" w:hAnsi="Arial Narrow"/>
          <w:b/>
          <w:sz w:val="24"/>
          <w:szCs w:val="24"/>
          <w:lang w:val="uk-UA"/>
        </w:rPr>
        <w:t xml:space="preserve">2. </w:t>
      </w:r>
      <w:r w:rsidR="007523F4" w:rsidRPr="0011163B">
        <w:rPr>
          <w:rFonts w:ascii="Arial Narrow" w:hAnsi="Arial Narrow"/>
          <w:sz w:val="24"/>
          <w:szCs w:val="24"/>
          <w:lang w:val="uk-UA"/>
        </w:rPr>
        <w:t xml:space="preserve">Абзацом </w:t>
      </w:r>
      <w:r w:rsidR="00462421">
        <w:rPr>
          <w:rFonts w:ascii="Arial Narrow" w:hAnsi="Arial Narrow"/>
          <w:sz w:val="24"/>
          <w:szCs w:val="24"/>
          <w:lang w:val="uk-UA"/>
        </w:rPr>
        <w:t>3</w:t>
      </w:r>
      <w:r w:rsidR="007523F4" w:rsidRPr="0011163B"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38545C" w:rsidRPr="0011163B">
        <w:rPr>
          <w:rFonts w:ascii="Arial Narrow" w:hAnsi="Arial Narrow"/>
          <w:sz w:val="24"/>
          <w:szCs w:val="24"/>
          <w:lang w:val="uk-UA"/>
        </w:rPr>
        <w:t>Пункт</w:t>
      </w:r>
      <w:r w:rsidR="007523F4" w:rsidRPr="0011163B">
        <w:rPr>
          <w:rFonts w:ascii="Arial Narrow" w:hAnsi="Arial Narrow"/>
          <w:sz w:val="24"/>
          <w:szCs w:val="24"/>
          <w:lang w:val="uk-UA"/>
        </w:rPr>
        <w:t>у</w:t>
      </w:r>
      <w:r w:rsidR="0038545C" w:rsidRPr="0011163B">
        <w:rPr>
          <w:rFonts w:ascii="Arial Narrow" w:hAnsi="Arial Narrow"/>
          <w:sz w:val="24"/>
          <w:szCs w:val="24"/>
          <w:lang w:val="uk-UA"/>
        </w:rPr>
        <w:t xml:space="preserve"> 3 Проекту постанови передбачено, що </w:t>
      </w:r>
      <w:r w:rsidR="0020198C" w:rsidRPr="0011163B">
        <w:rPr>
          <w:rFonts w:ascii="Arial Narrow" w:hAnsi="Arial Narrow"/>
          <w:sz w:val="24"/>
          <w:szCs w:val="24"/>
          <w:lang w:val="uk-UA"/>
        </w:rPr>
        <w:t xml:space="preserve">до високого ступеня ризику відносяться суб’єкти господарювання, які протягом останніх двох років, що передують плановому, але не менш як за результатами двох останніх заходів державного нагляду (контролю), </w:t>
      </w:r>
      <w:r w:rsidR="0020198C" w:rsidRPr="0011163B">
        <w:rPr>
          <w:rFonts w:ascii="Arial Narrow" w:hAnsi="Arial Narrow"/>
          <w:b/>
          <w:sz w:val="24"/>
          <w:szCs w:val="24"/>
          <w:lang w:val="uk-UA"/>
        </w:rPr>
        <w:t>допустили порушення ліцензійних умов</w:t>
      </w:r>
      <w:r w:rsidR="0020198C" w:rsidRPr="0011163B">
        <w:rPr>
          <w:rFonts w:ascii="Arial Narrow" w:hAnsi="Arial Narrow"/>
          <w:sz w:val="24"/>
          <w:szCs w:val="24"/>
          <w:lang w:val="uk-UA"/>
        </w:rPr>
        <w:t xml:space="preserve"> провадження господарської діяльності з поводження з небезпечними відходами, </w:t>
      </w:r>
      <w:r w:rsidR="0020198C" w:rsidRPr="0011163B">
        <w:rPr>
          <w:rFonts w:ascii="Arial Narrow" w:hAnsi="Arial Narrow"/>
          <w:b/>
          <w:sz w:val="24"/>
          <w:szCs w:val="24"/>
          <w:lang w:val="uk-UA"/>
        </w:rPr>
        <w:t xml:space="preserve">що спричинили видачу розпорядження про необхідність усунення таких порушень.   </w:t>
      </w:r>
    </w:p>
    <w:p w:rsidR="000F0DA3" w:rsidRPr="0011163B" w:rsidRDefault="002A07CE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В той же час, в</w:t>
      </w:r>
      <w:r w:rsidR="000F0DA3" w:rsidRPr="0011163B">
        <w:rPr>
          <w:rFonts w:ascii="Arial Narrow" w:hAnsi="Arial Narrow"/>
          <w:sz w:val="24"/>
          <w:szCs w:val="24"/>
          <w:lang w:val="uk-UA"/>
        </w:rPr>
        <w:t xml:space="preserve">ідповідно до пункту 9 </w:t>
      </w:r>
      <w:r w:rsidR="00B524B6" w:rsidRPr="0011163B">
        <w:rPr>
          <w:rFonts w:ascii="Arial Narrow" w:hAnsi="Arial Narrow"/>
          <w:sz w:val="24"/>
          <w:szCs w:val="24"/>
          <w:lang w:val="uk-UA"/>
        </w:rPr>
        <w:t>Методики розроблення критеріїв,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(контролю), затвердженої постановою Кабінету Міністрів України від 28.08.2013 року № 752 (далі - Методика)</w:t>
      </w:r>
      <w:r w:rsidR="000F0DA3" w:rsidRPr="0011163B">
        <w:rPr>
          <w:rFonts w:ascii="Arial Narrow" w:hAnsi="Arial Narrow"/>
          <w:sz w:val="24"/>
          <w:szCs w:val="24"/>
          <w:lang w:val="uk-UA"/>
        </w:rPr>
        <w:t>, критерії розробляються на підставі результатів аналізу якісних та кількісних показників (характеристик) діяльності суб’єктів господарювання з урахуванням статистичних даних про настання негативних наслідків від провадження діяльності суб’єктів господарювання, порушення вимог законодавства.</w:t>
      </w:r>
    </w:p>
    <w:p w:rsidR="002C01BA" w:rsidRPr="0011163B" w:rsidRDefault="000F0DA3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Критерії повинні визначати ступені ризику з урахуванням статистичних даних про настання негативних наслідків від провадження діяльності суб’єктів господарювання, порушення вимог законодавства (пункт 10 Методики).</w:t>
      </w:r>
    </w:p>
    <w:p w:rsidR="00EB2582" w:rsidRPr="0011163B" w:rsidRDefault="00EB2582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 xml:space="preserve">Періодичність проведення планових заходів державного нагляду (контролю) може змінюватись </w:t>
      </w:r>
      <w:r w:rsidRPr="0011163B">
        <w:rPr>
          <w:rFonts w:ascii="Arial Narrow" w:hAnsi="Arial Narrow"/>
          <w:b/>
          <w:sz w:val="24"/>
          <w:szCs w:val="24"/>
          <w:lang w:val="uk-UA"/>
        </w:rPr>
        <w:t>залежно від факторів, що можуть призвести до виникнення негативних наслідків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 від провадження діяльності суб’єкта господарювання (пункт 13 Методики).</w:t>
      </w:r>
    </w:p>
    <w:p w:rsidR="00EB2582" w:rsidRPr="0011163B" w:rsidRDefault="00ED357F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 xml:space="preserve">Періодичність проведення планових заходів державного нагляду (контролю) може змінюватись у разі відсутності </w:t>
      </w:r>
      <w:r w:rsidRPr="0011163B">
        <w:rPr>
          <w:rFonts w:ascii="Arial Narrow" w:hAnsi="Arial Narrow"/>
          <w:b/>
          <w:sz w:val="24"/>
          <w:szCs w:val="24"/>
          <w:lang w:val="uk-UA"/>
        </w:rPr>
        <w:t>суттєвих порушень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307995" w:rsidRPr="0011163B">
        <w:rPr>
          <w:rFonts w:ascii="Arial Narrow" w:hAnsi="Arial Narrow"/>
          <w:sz w:val="24"/>
          <w:szCs w:val="24"/>
          <w:lang w:val="uk-UA"/>
        </w:rPr>
        <w:t>суб’єктом господарювання вимог законодавства шляхом встановлення відповідного коефіцієнта</w:t>
      </w:r>
      <w:r w:rsidR="00574F13" w:rsidRPr="0011163B">
        <w:rPr>
          <w:rFonts w:ascii="Arial Narrow" w:hAnsi="Arial Narrow"/>
          <w:sz w:val="24"/>
          <w:szCs w:val="24"/>
          <w:lang w:val="uk-UA"/>
        </w:rPr>
        <w:t xml:space="preserve"> (пункт 14 Методики)</w:t>
      </w:r>
      <w:r w:rsidR="00307995" w:rsidRPr="0011163B">
        <w:rPr>
          <w:rFonts w:ascii="Arial Narrow" w:hAnsi="Arial Narrow"/>
          <w:sz w:val="24"/>
          <w:szCs w:val="24"/>
          <w:lang w:val="uk-UA"/>
        </w:rPr>
        <w:t>.</w:t>
      </w:r>
    </w:p>
    <w:p w:rsidR="00A757CD" w:rsidRPr="0011163B" w:rsidRDefault="007F4580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 xml:space="preserve">Однак </w:t>
      </w:r>
      <w:r w:rsidR="004C7169" w:rsidRPr="0011163B">
        <w:rPr>
          <w:rFonts w:ascii="Arial Narrow" w:hAnsi="Arial Narrow"/>
          <w:sz w:val="24"/>
          <w:szCs w:val="24"/>
          <w:lang w:val="uk-UA"/>
        </w:rPr>
        <w:t>запропонований</w:t>
      </w:r>
      <w:r w:rsidR="00D7271A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4C7169" w:rsidRPr="0011163B">
        <w:rPr>
          <w:rFonts w:ascii="Arial Narrow" w:hAnsi="Arial Narrow"/>
          <w:sz w:val="24"/>
          <w:szCs w:val="24"/>
          <w:lang w:val="uk-UA"/>
        </w:rPr>
        <w:t xml:space="preserve">розробником </w:t>
      </w:r>
      <w:r w:rsidR="00D7271A" w:rsidRPr="0011163B">
        <w:rPr>
          <w:rFonts w:ascii="Arial Narrow" w:hAnsi="Arial Narrow"/>
          <w:sz w:val="24"/>
          <w:szCs w:val="24"/>
          <w:lang w:val="uk-UA"/>
        </w:rPr>
        <w:t xml:space="preserve">в абзаці </w:t>
      </w:r>
      <w:r w:rsidR="00462421">
        <w:rPr>
          <w:rFonts w:ascii="Arial Narrow" w:hAnsi="Arial Narrow"/>
          <w:sz w:val="24"/>
          <w:szCs w:val="24"/>
          <w:lang w:val="uk-UA"/>
        </w:rPr>
        <w:t>3</w:t>
      </w:r>
      <w:r w:rsidR="00D7271A" w:rsidRPr="0011163B">
        <w:rPr>
          <w:rFonts w:ascii="Arial Narrow" w:hAnsi="Arial Narrow"/>
          <w:sz w:val="24"/>
          <w:szCs w:val="24"/>
          <w:lang w:val="uk-UA"/>
        </w:rPr>
        <w:t xml:space="preserve"> пункту</w:t>
      </w:r>
      <w:r w:rsidR="004C7169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D7271A" w:rsidRPr="0011163B">
        <w:rPr>
          <w:rFonts w:ascii="Arial Narrow" w:hAnsi="Arial Narrow"/>
          <w:sz w:val="24"/>
          <w:szCs w:val="24"/>
          <w:lang w:val="uk-UA"/>
        </w:rPr>
        <w:t>3 Проекту постанови критері</w:t>
      </w:r>
      <w:r w:rsidR="004C7169" w:rsidRPr="0011163B">
        <w:rPr>
          <w:rFonts w:ascii="Arial Narrow" w:hAnsi="Arial Narrow"/>
          <w:sz w:val="24"/>
          <w:szCs w:val="24"/>
          <w:lang w:val="uk-UA"/>
        </w:rPr>
        <w:t>й</w:t>
      </w:r>
      <w:r w:rsidR="00D7271A" w:rsidRPr="0011163B">
        <w:rPr>
          <w:rFonts w:ascii="Arial Narrow" w:hAnsi="Arial Narrow"/>
          <w:sz w:val="24"/>
          <w:szCs w:val="24"/>
          <w:lang w:val="uk-UA"/>
        </w:rPr>
        <w:t xml:space="preserve"> ризику</w:t>
      </w:r>
      <w:r w:rsidR="00EB2582" w:rsidRPr="0011163B">
        <w:rPr>
          <w:rFonts w:ascii="Arial Narrow" w:hAnsi="Arial Narrow"/>
          <w:sz w:val="24"/>
          <w:szCs w:val="24"/>
          <w:lang w:val="uk-UA"/>
        </w:rPr>
        <w:t xml:space="preserve"> супереч</w:t>
      </w:r>
      <w:r w:rsidR="004C7169" w:rsidRPr="0011163B">
        <w:rPr>
          <w:rFonts w:ascii="Arial Narrow" w:hAnsi="Arial Narrow"/>
          <w:sz w:val="24"/>
          <w:szCs w:val="24"/>
          <w:lang w:val="uk-UA"/>
        </w:rPr>
        <w:t>ить</w:t>
      </w:r>
      <w:r w:rsidR="00EB2582" w:rsidRPr="0011163B">
        <w:rPr>
          <w:rFonts w:ascii="Arial Narrow" w:hAnsi="Arial Narrow"/>
          <w:sz w:val="24"/>
          <w:szCs w:val="24"/>
          <w:lang w:val="uk-UA"/>
        </w:rPr>
        <w:t xml:space="preserve"> вимогам пункт</w:t>
      </w:r>
      <w:r w:rsidR="004C7169" w:rsidRPr="0011163B">
        <w:rPr>
          <w:rFonts w:ascii="Arial Narrow" w:hAnsi="Arial Narrow"/>
          <w:sz w:val="24"/>
          <w:szCs w:val="24"/>
          <w:lang w:val="uk-UA"/>
        </w:rPr>
        <w:t>ів</w:t>
      </w:r>
      <w:r w:rsidR="00EB2582" w:rsidRPr="0011163B">
        <w:rPr>
          <w:rFonts w:ascii="Arial Narrow" w:hAnsi="Arial Narrow"/>
          <w:sz w:val="24"/>
          <w:szCs w:val="24"/>
          <w:lang w:val="uk-UA"/>
        </w:rPr>
        <w:t xml:space="preserve"> 9</w:t>
      </w:r>
      <w:r w:rsidR="00574F13" w:rsidRPr="0011163B">
        <w:rPr>
          <w:rFonts w:ascii="Arial Narrow" w:hAnsi="Arial Narrow"/>
          <w:sz w:val="24"/>
          <w:szCs w:val="24"/>
          <w:lang w:val="uk-UA"/>
        </w:rPr>
        <w:t>,</w:t>
      </w:r>
      <w:r w:rsidR="00EB2582" w:rsidRPr="0011163B">
        <w:rPr>
          <w:rFonts w:ascii="Arial Narrow" w:hAnsi="Arial Narrow"/>
          <w:sz w:val="24"/>
          <w:szCs w:val="24"/>
          <w:lang w:val="uk-UA"/>
        </w:rPr>
        <w:t xml:space="preserve"> 10</w:t>
      </w:r>
      <w:r w:rsidR="00574F13" w:rsidRPr="0011163B">
        <w:rPr>
          <w:rFonts w:ascii="Arial Narrow" w:hAnsi="Arial Narrow"/>
          <w:sz w:val="24"/>
          <w:szCs w:val="24"/>
          <w:lang w:val="uk-UA"/>
        </w:rPr>
        <w:t>, 13 та 14</w:t>
      </w:r>
      <w:r w:rsidR="00EB2582" w:rsidRPr="0011163B">
        <w:rPr>
          <w:rFonts w:ascii="Arial Narrow" w:hAnsi="Arial Narrow"/>
          <w:sz w:val="24"/>
          <w:szCs w:val="24"/>
          <w:lang w:val="uk-UA"/>
        </w:rPr>
        <w:t xml:space="preserve"> Методики</w:t>
      </w:r>
      <w:r w:rsidR="00F117E8" w:rsidRPr="0011163B">
        <w:rPr>
          <w:rFonts w:ascii="Arial Narrow" w:hAnsi="Arial Narrow"/>
          <w:sz w:val="24"/>
          <w:szCs w:val="24"/>
          <w:lang w:val="uk-UA"/>
        </w:rPr>
        <w:t>,</w:t>
      </w:r>
      <w:r w:rsidR="00EB2582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4C7169" w:rsidRPr="0011163B">
        <w:rPr>
          <w:rFonts w:ascii="Arial Narrow" w:hAnsi="Arial Narrow"/>
          <w:sz w:val="24"/>
          <w:szCs w:val="24"/>
          <w:lang w:val="uk-UA"/>
        </w:rPr>
        <w:t xml:space="preserve">тому що під час його визначення </w:t>
      </w:r>
      <w:r w:rsidR="00F117E8" w:rsidRPr="0011163B">
        <w:rPr>
          <w:rFonts w:ascii="Arial Narrow" w:hAnsi="Arial Narrow"/>
          <w:sz w:val="24"/>
          <w:szCs w:val="24"/>
          <w:lang w:val="uk-UA"/>
        </w:rPr>
        <w:t xml:space="preserve">не було враховано, що для зміни періодичності </w:t>
      </w:r>
      <w:r w:rsidR="0063118B" w:rsidRPr="0011163B">
        <w:rPr>
          <w:rFonts w:ascii="Arial Narrow" w:hAnsi="Arial Narrow"/>
          <w:sz w:val="24"/>
          <w:szCs w:val="24"/>
          <w:lang w:val="uk-UA"/>
        </w:rPr>
        <w:t xml:space="preserve">проведення планових </w:t>
      </w:r>
      <w:r w:rsidR="005757FD" w:rsidRPr="0011163B">
        <w:rPr>
          <w:rFonts w:ascii="Arial Narrow" w:hAnsi="Arial Narrow"/>
          <w:sz w:val="24"/>
          <w:szCs w:val="24"/>
          <w:lang w:val="uk-UA"/>
        </w:rPr>
        <w:t>перевірок</w:t>
      </w:r>
      <w:r w:rsidR="0063118B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F117E8" w:rsidRPr="0011163B">
        <w:rPr>
          <w:rFonts w:ascii="Arial Narrow" w:hAnsi="Arial Narrow"/>
          <w:sz w:val="24"/>
          <w:szCs w:val="24"/>
          <w:lang w:val="uk-UA"/>
        </w:rPr>
        <w:t>необхідно вчинення суб’єктом господарювання суттєвих порушень</w:t>
      </w:r>
      <w:r w:rsidR="00A757CD" w:rsidRPr="0011163B">
        <w:rPr>
          <w:rFonts w:ascii="Arial Narrow" w:hAnsi="Arial Narrow"/>
          <w:sz w:val="24"/>
          <w:szCs w:val="24"/>
          <w:lang w:val="uk-UA"/>
        </w:rPr>
        <w:t xml:space="preserve">, які можуть призвести </w:t>
      </w:r>
      <w:r w:rsidR="004C7169" w:rsidRPr="0011163B">
        <w:rPr>
          <w:rFonts w:ascii="Arial Narrow" w:hAnsi="Arial Narrow"/>
          <w:sz w:val="24"/>
          <w:szCs w:val="24"/>
          <w:lang w:val="uk-UA"/>
        </w:rPr>
        <w:t xml:space="preserve">або вже призвели </w:t>
      </w:r>
      <w:r w:rsidR="00A757CD" w:rsidRPr="0011163B">
        <w:rPr>
          <w:rFonts w:ascii="Arial Narrow" w:hAnsi="Arial Narrow"/>
          <w:sz w:val="24"/>
          <w:szCs w:val="24"/>
          <w:lang w:val="uk-UA"/>
        </w:rPr>
        <w:t>до настання негативних наслідків.</w:t>
      </w:r>
    </w:p>
    <w:p w:rsidR="00A757CD" w:rsidRPr="0011163B" w:rsidRDefault="00D248B6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З</w:t>
      </w:r>
      <w:r w:rsidR="000B2542" w:rsidRPr="0011163B">
        <w:rPr>
          <w:rFonts w:ascii="Arial Narrow" w:hAnsi="Arial Narrow"/>
          <w:sz w:val="24"/>
          <w:szCs w:val="24"/>
          <w:lang w:val="uk-UA"/>
        </w:rPr>
        <w:t xml:space="preserve">азначений </w:t>
      </w:r>
      <w:r w:rsidR="004D4B5C" w:rsidRPr="0011163B">
        <w:rPr>
          <w:rFonts w:ascii="Arial Narrow" w:hAnsi="Arial Narrow"/>
          <w:sz w:val="24"/>
          <w:szCs w:val="24"/>
          <w:lang w:val="uk-UA"/>
        </w:rPr>
        <w:t xml:space="preserve">Проект постанови 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направлений на </w:t>
      </w:r>
      <w:r w:rsidR="000B2542" w:rsidRPr="0011163B">
        <w:rPr>
          <w:rFonts w:ascii="Arial Narrow" w:hAnsi="Arial Narrow"/>
          <w:sz w:val="24"/>
          <w:szCs w:val="24"/>
          <w:lang w:val="uk-UA"/>
        </w:rPr>
        <w:t>визнач</w:t>
      </w:r>
      <w:r w:rsidRPr="0011163B">
        <w:rPr>
          <w:rFonts w:ascii="Arial Narrow" w:hAnsi="Arial Narrow"/>
          <w:sz w:val="24"/>
          <w:szCs w:val="24"/>
          <w:lang w:val="uk-UA"/>
        </w:rPr>
        <w:t>ення</w:t>
      </w:r>
      <w:r w:rsidR="000B2542" w:rsidRPr="0011163B">
        <w:rPr>
          <w:rFonts w:ascii="Arial Narrow" w:hAnsi="Arial Narrow"/>
          <w:sz w:val="24"/>
          <w:szCs w:val="24"/>
          <w:lang w:val="uk-UA"/>
        </w:rPr>
        <w:t xml:space="preserve"> періодичн</w:t>
      </w:r>
      <w:r w:rsidRPr="0011163B">
        <w:rPr>
          <w:rFonts w:ascii="Arial Narrow" w:hAnsi="Arial Narrow"/>
          <w:sz w:val="24"/>
          <w:szCs w:val="24"/>
          <w:lang w:val="uk-UA"/>
        </w:rPr>
        <w:t>ості</w:t>
      </w:r>
      <w:r w:rsidR="000B2542" w:rsidRPr="0011163B">
        <w:rPr>
          <w:rFonts w:ascii="Arial Narrow" w:hAnsi="Arial Narrow"/>
          <w:sz w:val="24"/>
          <w:szCs w:val="24"/>
          <w:lang w:val="uk-UA"/>
        </w:rPr>
        <w:t xml:space="preserve"> проведення планових </w:t>
      </w:r>
      <w:r w:rsidR="004D4B5C" w:rsidRPr="0011163B">
        <w:rPr>
          <w:rFonts w:ascii="Arial Narrow" w:hAnsi="Arial Narrow"/>
          <w:sz w:val="24"/>
          <w:szCs w:val="24"/>
          <w:lang w:val="uk-UA"/>
        </w:rPr>
        <w:t>перевір</w:t>
      </w:r>
      <w:r w:rsidR="000B2542" w:rsidRPr="0011163B">
        <w:rPr>
          <w:rFonts w:ascii="Arial Narrow" w:hAnsi="Arial Narrow"/>
          <w:sz w:val="24"/>
          <w:szCs w:val="24"/>
          <w:lang w:val="uk-UA"/>
        </w:rPr>
        <w:t>о</w:t>
      </w:r>
      <w:r w:rsidR="004D4B5C" w:rsidRPr="0011163B">
        <w:rPr>
          <w:rFonts w:ascii="Arial Narrow" w:hAnsi="Arial Narrow"/>
          <w:sz w:val="24"/>
          <w:szCs w:val="24"/>
          <w:lang w:val="uk-UA"/>
        </w:rPr>
        <w:t>к дотримання ліцензіатами ліцензійних умов</w:t>
      </w:r>
      <w:r w:rsidR="00E6087A" w:rsidRPr="0011163B">
        <w:rPr>
          <w:rFonts w:ascii="Arial Narrow" w:hAnsi="Arial Narrow"/>
          <w:sz w:val="24"/>
          <w:szCs w:val="24"/>
          <w:lang w:val="uk-UA"/>
        </w:rPr>
        <w:t>. Л</w:t>
      </w:r>
      <w:r w:rsidR="00CE071E" w:rsidRPr="0011163B">
        <w:rPr>
          <w:rFonts w:ascii="Arial Narrow" w:hAnsi="Arial Narrow"/>
          <w:sz w:val="24"/>
          <w:szCs w:val="24"/>
          <w:lang w:val="uk-UA"/>
        </w:rPr>
        <w:t>іцензійні умови можуть містити</w:t>
      </w:r>
      <w:r w:rsidR="00E6087A" w:rsidRPr="0011163B">
        <w:rPr>
          <w:rFonts w:ascii="Arial Narrow" w:hAnsi="Arial Narrow"/>
          <w:sz w:val="24"/>
          <w:szCs w:val="24"/>
          <w:lang w:val="uk-UA"/>
        </w:rPr>
        <w:t xml:space="preserve"> обов’язкові, але </w:t>
      </w:r>
      <w:r w:rsidR="00CE071E" w:rsidRPr="0011163B">
        <w:rPr>
          <w:rFonts w:ascii="Arial Narrow" w:hAnsi="Arial Narrow"/>
          <w:sz w:val="24"/>
          <w:szCs w:val="24"/>
          <w:lang w:val="uk-UA"/>
        </w:rPr>
        <w:t>неважливі</w:t>
      </w:r>
      <w:r w:rsidR="008C02DA" w:rsidRPr="0011163B">
        <w:rPr>
          <w:rFonts w:ascii="Arial Narrow" w:hAnsi="Arial Narrow"/>
          <w:sz w:val="24"/>
          <w:szCs w:val="24"/>
          <w:lang w:val="uk-UA"/>
        </w:rPr>
        <w:t xml:space="preserve">, несуттєві </w:t>
      </w:r>
      <w:r w:rsidR="00CE071E" w:rsidRPr="0011163B">
        <w:rPr>
          <w:rFonts w:ascii="Arial Narrow" w:hAnsi="Arial Narrow"/>
          <w:sz w:val="24"/>
          <w:szCs w:val="24"/>
          <w:lang w:val="uk-UA"/>
        </w:rPr>
        <w:t>вимоги до ліцензіата</w:t>
      </w:r>
      <w:r w:rsidR="00E6087A" w:rsidRPr="0011163B">
        <w:rPr>
          <w:rFonts w:ascii="Arial Narrow" w:hAnsi="Arial Narrow"/>
          <w:sz w:val="24"/>
          <w:szCs w:val="24"/>
          <w:lang w:val="uk-UA"/>
        </w:rPr>
        <w:t>. Наприклад,</w:t>
      </w:r>
      <w:r w:rsidR="00CE071E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11163B">
        <w:rPr>
          <w:rFonts w:ascii="Arial Narrow" w:hAnsi="Arial Narrow"/>
          <w:sz w:val="24"/>
          <w:szCs w:val="24"/>
          <w:lang w:val="uk-UA"/>
        </w:rPr>
        <w:t>на підставі</w:t>
      </w:r>
      <w:r w:rsidR="00E6087A" w:rsidRPr="0011163B">
        <w:rPr>
          <w:rFonts w:ascii="Arial Narrow" w:hAnsi="Arial Narrow"/>
          <w:sz w:val="24"/>
          <w:szCs w:val="24"/>
          <w:lang w:val="uk-UA"/>
        </w:rPr>
        <w:t xml:space="preserve"> статті 9 Закону про ліцензування, вимоги ліцензійних умов повинні включати обов’язок ліцензіата </w:t>
      </w:r>
      <w:r w:rsidR="00CE071E" w:rsidRPr="0011163B">
        <w:rPr>
          <w:rFonts w:ascii="Arial Narrow" w:hAnsi="Arial Narrow"/>
          <w:sz w:val="24"/>
          <w:szCs w:val="24"/>
          <w:lang w:val="uk-UA"/>
        </w:rPr>
        <w:t>зберіга</w:t>
      </w:r>
      <w:r w:rsidR="00E6087A" w:rsidRPr="0011163B">
        <w:rPr>
          <w:rFonts w:ascii="Arial Narrow" w:hAnsi="Arial Narrow"/>
          <w:sz w:val="24"/>
          <w:szCs w:val="24"/>
          <w:lang w:val="uk-UA"/>
        </w:rPr>
        <w:t>ти</w:t>
      </w:r>
      <w:r w:rsidR="00CE071E" w:rsidRPr="0011163B">
        <w:rPr>
          <w:rFonts w:ascii="Arial Narrow" w:hAnsi="Arial Narrow"/>
          <w:sz w:val="24"/>
          <w:szCs w:val="24"/>
          <w:lang w:val="uk-UA"/>
        </w:rPr>
        <w:t xml:space="preserve"> протягом дії ліцензії </w:t>
      </w:r>
      <w:r w:rsidR="00E6087A" w:rsidRPr="0011163B">
        <w:rPr>
          <w:rFonts w:ascii="Arial Narrow" w:hAnsi="Arial Narrow"/>
          <w:sz w:val="24"/>
          <w:szCs w:val="24"/>
          <w:lang w:val="uk-UA"/>
        </w:rPr>
        <w:t>квитанцію</w:t>
      </w:r>
      <w:r w:rsidR="00CE071E" w:rsidRPr="0011163B">
        <w:rPr>
          <w:rFonts w:ascii="Arial Narrow" w:hAnsi="Arial Narrow"/>
          <w:sz w:val="24"/>
          <w:szCs w:val="24"/>
          <w:lang w:val="uk-UA"/>
        </w:rPr>
        <w:t xml:space="preserve"> про внесення плати за видачу ліцензії</w:t>
      </w:r>
      <w:r w:rsidR="00E6087A" w:rsidRPr="0011163B">
        <w:rPr>
          <w:rFonts w:ascii="Arial Narrow" w:hAnsi="Arial Narrow"/>
          <w:sz w:val="24"/>
          <w:szCs w:val="24"/>
          <w:lang w:val="uk-UA"/>
        </w:rPr>
        <w:t xml:space="preserve">. Невиконання ліцензіатом цієї вимоги ліцензійних </w:t>
      </w:r>
      <w:r w:rsidR="008C02DA" w:rsidRPr="0011163B">
        <w:rPr>
          <w:rFonts w:ascii="Arial Narrow" w:hAnsi="Arial Narrow"/>
          <w:sz w:val="24"/>
          <w:szCs w:val="24"/>
          <w:lang w:val="uk-UA"/>
        </w:rPr>
        <w:lastRenderedPageBreak/>
        <w:t>умов</w:t>
      </w:r>
      <w:r w:rsidR="00E6087A" w:rsidRPr="0011163B">
        <w:rPr>
          <w:rFonts w:ascii="Arial Narrow" w:hAnsi="Arial Narrow"/>
          <w:sz w:val="24"/>
          <w:szCs w:val="24"/>
          <w:lang w:val="uk-UA"/>
        </w:rPr>
        <w:t xml:space="preserve"> є незначним</w:t>
      </w:r>
      <w:r w:rsidR="008C02DA" w:rsidRPr="0011163B">
        <w:rPr>
          <w:rFonts w:ascii="Arial Narrow" w:hAnsi="Arial Narrow"/>
          <w:sz w:val="24"/>
          <w:szCs w:val="24"/>
          <w:lang w:val="uk-UA"/>
        </w:rPr>
        <w:t>, несуттєвим порушенням і</w:t>
      </w:r>
      <w:r w:rsidR="00E6087A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8C02DA" w:rsidRPr="0011163B">
        <w:rPr>
          <w:rFonts w:ascii="Arial Narrow" w:hAnsi="Arial Narrow"/>
          <w:sz w:val="24"/>
          <w:szCs w:val="24"/>
          <w:lang w:val="uk-UA"/>
        </w:rPr>
        <w:t xml:space="preserve">взагалі не може призвести до виникнення негативних наслідків від господарської діяльності ліцензіата, </w:t>
      </w:r>
      <w:r w:rsidR="00E6087A" w:rsidRPr="0011163B">
        <w:rPr>
          <w:rFonts w:ascii="Arial Narrow" w:hAnsi="Arial Narrow"/>
          <w:sz w:val="24"/>
          <w:szCs w:val="24"/>
          <w:lang w:val="uk-UA"/>
        </w:rPr>
        <w:t xml:space="preserve">тому </w:t>
      </w:r>
      <w:r w:rsidR="005A1B7F" w:rsidRPr="0011163B">
        <w:rPr>
          <w:rFonts w:ascii="Arial Narrow" w:hAnsi="Arial Narrow"/>
          <w:sz w:val="24"/>
          <w:szCs w:val="24"/>
          <w:lang w:val="uk-UA"/>
        </w:rPr>
        <w:t xml:space="preserve">віднесення суб’єктів господарювання до високого ступеня ризику </w:t>
      </w:r>
      <w:r w:rsidR="00163DDC" w:rsidRPr="0011163B">
        <w:rPr>
          <w:rFonts w:ascii="Arial Narrow" w:hAnsi="Arial Narrow"/>
          <w:sz w:val="24"/>
          <w:szCs w:val="24"/>
          <w:lang w:val="uk-UA"/>
        </w:rPr>
        <w:t xml:space="preserve">за допущення такого незначного порушення є </w:t>
      </w:r>
      <w:r w:rsidR="00EC4A07" w:rsidRPr="0011163B">
        <w:rPr>
          <w:rFonts w:ascii="Arial Narrow" w:hAnsi="Arial Narrow"/>
          <w:sz w:val="24"/>
          <w:szCs w:val="24"/>
          <w:lang w:val="uk-UA"/>
        </w:rPr>
        <w:t xml:space="preserve">недоцільним. </w:t>
      </w:r>
    </w:p>
    <w:p w:rsidR="00A757CD" w:rsidRPr="0011163B" w:rsidRDefault="00EC4A07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 xml:space="preserve">Враховуючи наведене, запропонований в абзаці </w:t>
      </w:r>
      <w:r w:rsidR="00B60FD5">
        <w:rPr>
          <w:rFonts w:ascii="Arial Narrow" w:hAnsi="Arial Narrow"/>
          <w:sz w:val="24"/>
          <w:szCs w:val="24"/>
          <w:lang w:val="uk-UA"/>
        </w:rPr>
        <w:t>3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 пункту 3 Проекту постанови критерій ризику потребує або виключення, або суттєвого доопрацювання</w:t>
      </w:r>
      <w:r w:rsidR="00102D11">
        <w:rPr>
          <w:rFonts w:ascii="Arial Narrow" w:hAnsi="Arial Narrow"/>
          <w:sz w:val="24"/>
          <w:szCs w:val="24"/>
          <w:lang w:val="uk-UA"/>
        </w:rPr>
        <w:t>, в частині уточнення переліку порушень ліцензійних умов</w:t>
      </w:r>
      <w:r w:rsidRPr="0011163B">
        <w:rPr>
          <w:rFonts w:ascii="Arial Narrow" w:hAnsi="Arial Narrow"/>
          <w:sz w:val="24"/>
          <w:szCs w:val="24"/>
          <w:lang w:val="uk-UA"/>
        </w:rPr>
        <w:t>.</w:t>
      </w:r>
    </w:p>
    <w:p w:rsidR="00EC4A07" w:rsidRPr="0011163B" w:rsidRDefault="00EC4A07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B01196" w:rsidRPr="0011163B" w:rsidRDefault="002C01BA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b/>
          <w:sz w:val="24"/>
          <w:szCs w:val="24"/>
          <w:lang w:val="uk-UA"/>
        </w:rPr>
        <w:t>3</w:t>
      </w:r>
      <w:r w:rsidR="000F333D" w:rsidRPr="0011163B">
        <w:rPr>
          <w:rFonts w:ascii="Arial Narrow" w:hAnsi="Arial Narrow"/>
          <w:b/>
          <w:sz w:val="24"/>
          <w:szCs w:val="24"/>
          <w:lang w:val="uk-UA"/>
        </w:rPr>
        <w:t>.</w:t>
      </w:r>
      <w:r w:rsidR="000F333D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02046A" w:rsidRPr="0011163B">
        <w:rPr>
          <w:rFonts w:ascii="Arial Narrow" w:hAnsi="Arial Narrow"/>
          <w:sz w:val="24"/>
          <w:szCs w:val="24"/>
          <w:lang w:val="uk-UA"/>
        </w:rPr>
        <w:t xml:space="preserve">Пунктом </w:t>
      </w:r>
      <w:r w:rsidR="000F333D" w:rsidRPr="0011163B">
        <w:rPr>
          <w:rFonts w:ascii="Arial Narrow" w:hAnsi="Arial Narrow"/>
          <w:sz w:val="24"/>
          <w:szCs w:val="24"/>
          <w:lang w:val="uk-UA"/>
        </w:rPr>
        <w:t>3</w:t>
      </w:r>
      <w:r w:rsidR="0002046A" w:rsidRPr="0011163B">
        <w:rPr>
          <w:rFonts w:ascii="Arial Narrow" w:hAnsi="Arial Narrow"/>
          <w:sz w:val="24"/>
          <w:szCs w:val="24"/>
          <w:lang w:val="uk-UA"/>
        </w:rPr>
        <w:t xml:space="preserve"> Проекту постанови передбачено віднести </w:t>
      </w:r>
      <w:r w:rsidR="0002046A" w:rsidRPr="0011163B">
        <w:rPr>
          <w:rFonts w:ascii="Arial Narrow" w:hAnsi="Arial Narrow"/>
          <w:b/>
          <w:sz w:val="24"/>
          <w:szCs w:val="24"/>
          <w:lang w:val="uk-UA"/>
        </w:rPr>
        <w:t xml:space="preserve">до високого ступеня ризику </w:t>
      </w:r>
      <w:r w:rsidR="0002046A" w:rsidRPr="0011163B">
        <w:rPr>
          <w:rFonts w:ascii="Arial Narrow" w:hAnsi="Arial Narrow"/>
          <w:sz w:val="24"/>
          <w:szCs w:val="24"/>
          <w:lang w:val="uk-UA"/>
        </w:rPr>
        <w:t xml:space="preserve">суб’єктів господарювання, які здійснюють </w:t>
      </w:r>
      <w:r w:rsidR="0002046A" w:rsidRPr="0011163B">
        <w:rPr>
          <w:rFonts w:ascii="Arial Narrow" w:hAnsi="Arial Narrow"/>
          <w:b/>
          <w:sz w:val="24"/>
          <w:szCs w:val="24"/>
          <w:lang w:val="uk-UA"/>
        </w:rPr>
        <w:t>операції утилізації та/або знешкодження</w:t>
      </w:r>
      <w:r w:rsidR="0002046A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02046A" w:rsidRPr="0011163B">
        <w:rPr>
          <w:rFonts w:ascii="Arial Narrow" w:hAnsi="Arial Narrow"/>
          <w:b/>
          <w:sz w:val="24"/>
          <w:szCs w:val="24"/>
          <w:lang w:val="uk-UA"/>
        </w:rPr>
        <w:t xml:space="preserve">9 </w:t>
      </w:r>
      <w:r w:rsidR="0002046A" w:rsidRPr="00462421">
        <w:rPr>
          <w:rFonts w:ascii="Arial Narrow" w:hAnsi="Arial Narrow"/>
          <w:b/>
          <w:sz w:val="24"/>
          <w:szCs w:val="24"/>
          <w:u w:val="single"/>
          <w:lang w:val="uk-UA"/>
        </w:rPr>
        <w:t>та більше</w:t>
      </w:r>
      <w:r w:rsidR="0002046A" w:rsidRPr="0011163B">
        <w:rPr>
          <w:rFonts w:ascii="Arial Narrow" w:hAnsi="Arial Narrow"/>
          <w:b/>
          <w:sz w:val="24"/>
          <w:szCs w:val="24"/>
          <w:lang w:val="uk-UA"/>
        </w:rPr>
        <w:t xml:space="preserve"> </w:t>
      </w:r>
      <w:r w:rsidR="0002046A" w:rsidRPr="00462421">
        <w:rPr>
          <w:rFonts w:ascii="Arial Narrow" w:hAnsi="Arial Narrow"/>
          <w:sz w:val="24"/>
          <w:szCs w:val="24"/>
          <w:lang w:val="uk-UA"/>
        </w:rPr>
        <w:t>в</w:t>
      </w:r>
      <w:r w:rsidR="0002046A" w:rsidRPr="0011163B">
        <w:rPr>
          <w:rFonts w:ascii="Arial Narrow" w:hAnsi="Arial Narrow"/>
          <w:sz w:val="24"/>
          <w:szCs w:val="24"/>
          <w:lang w:val="uk-UA"/>
        </w:rPr>
        <w:t>идів небезпечних відходів.</w:t>
      </w:r>
      <w:r w:rsidR="00B01196" w:rsidRPr="0011163B">
        <w:rPr>
          <w:rFonts w:ascii="Arial Narrow" w:hAnsi="Arial Narrow"/>
          <w:sz w:val="24"/>
          <w:szCs w:val="24"/>
          <w:lang w:val="uk-UA"/>
        </w:rPr>
        <w:t xml:space="preserve"> </w:t>
      </w:r>
    </w:p>
    <w:p w:rsidR="000F333D" w:rsidRPr="0011163B" w:rsidRDefault="000F333D" w:rsidP="00B01196">
      <w:pPr>
        <w:spacing w:after="0" w:line="0" w:lineRule="atLeast"/>
        <w:ind w:firstLine="567"/>
        <w:jc w:val="both"/>
        <w:rPr>
          <w:rFonts w:ascii="Arial Narrow" w:hAnsi="Arial Narrow"/>
          <w:b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 xml:space="preserve">В той же час, відповідно до </w:t>
      </w:r>
      <w:r w:rsidR="004D1560" w:rsidRPr="0011163B">
        <w:rPr>
          <w:rFonts w:ascii="Arial Narrow" w:hAnsi="Arial Narrow"/>
          <w:sz w:val="24"/>
          <w:szCs w:val="24"/>
          <w:lang w:val="uk-UA"/>
        </w:rPr>
        <w:t xml:space="preserve">абзацу </w:t>
      </w:r>
      <w:r w:rsidR="00C9072D">
        <w:rPr>
          <w:rFonts w:ascii="Arial Narrow" w:hAnsi="Arial Narrow"/>
          <w:sz w:val="24"/>
          <w:szCs w:val="24"/>
          <w:lang w:val="uk-UA"/>
        </w:rPr>
        <w:t>3</w:t>
      </w:r>
      <w:r w:rsidR="004D1560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Pr="0011163B">
        <w:rPr>
          <w:rFonts w:ascii="Arial Narrow" w:hAnsi="Arial Narrow"/>
          <w:sz w:val="24"/>
          <w:szCs w:val="24"/>
          <w:lang w:val="uk-UA"/>
        </w:rPr>
        <w:t>пункту 4 Проекту постанови</w:t>
      </w:r>
      <w:r w:rsidR="007C12E9" w:rsidRPr="0011163B">
        <w:rPr>
          <w:rFonts w:ascii="Arial Narrow" w:hAnsi="Arial Narrow"/>
          <w:sz w:val="24"/>
          <w:szCs w:val="24"/>
          <w:lang w:val="uk-UA"/>
        </w:rPr>
        <w:t>,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Pr="0011163B">
        <w:rPr>
          <w:rFonts w:ascii="Arial Narrow" w:hAnsi="Arial Narrow"/>
          <w:b/>
          <w:sz w:val="24"/>
          <w:szCs w:val="24"/>
          <w:lang w:val="uk-UA"/>
        </w:rPr>
        <w:t>до середнього ступеня ризику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 відносяться суб’єкти господарювання, </w:t>
      </w:r>
      <w:r w:rsidRPr="0011163B">
        <w:rPr>
          <w:rFonts w:ascii="Arial Narrow" w:hAnsi="Arial Narrow"/>
          <w:b/>
          <w:sz w:val="24"/>
          <w:szCs w:val="24"/>
          <w:lang w:val="uk-UA"/>
        </w:rPr>
        <w:t xml:space="preserve">які здійснюють діяльність з кількістю видів небезпечних відходів 15 та більше. </w:t>
      </w:r>
    </w:p>
    <w:p w:rsidR="00475546" w:rsidRPr="0011163B" w:rsidRDefault="00475546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 xml:space="preserve">Діяльність з </w:t>
      </w:r>
      <w:r w:rsidR="001D5C12">
        <w:rPr>
          <w:rFonts w:ascii="Arial Narrow" w:hAnsi="Arial Narrow"/>
          <w:sz w:val="24"/>
          <w:szCs w:val="24"/>
          <w:lang w:val="uk-UA"/>
        </w:rPr>
        <w:t xml:space="preserve">поводження з 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небезпечними відходами, відповідно до статті 1 Закону України «Про відходи», </w:t>
      </w:r>
      <w:r w:rsidR="0047397E" w:rsidRPr="0011163B">
        <w:rPr>
          <w:rFonts w:ascii="Arial Narrow" w:hAnsi="Arial Narrow"/>
          <w:sz w:val="24"/>
          <w:szCs w:val="24"/>
          <w:lang w:val="uk-UA"/>
        </w:rPr>
        <w:t>може включати в себе утилізацію та</w:t>
      </w:r>
      <w:r w:rsidR="0002633C" w:rsidRPr="0011163B">
        <w:rPr>
          <w:rFonts w:ascii="Arial Narrow" w:hAnsi="Arial Narrow"/>
          <w:sz w:val="24"/>
          <w:szCs w:val="24"/>
          <w:lang w:val="uk-UA"/>
        </w:rPr>
        <w:t>/або</w:t>
      </w:r>
      <w:r w:rsidR="0047397E" w:rsidRPr="0011163B">
        <w:rPr>
          <w:rFonts w:ascii="Arial Narrow" w:hAnsi="Arial Narrow"/>
          <w:sz w:val="24"/>
          <w:szCs w:val="24"/>
          <w:lang w:val="uk-UA"/>
        </w:rPr>
        <w:t xml:space="preserve"> знешкодження небезпечних відходів.</w:t>
      </w:r>
    </w:p>
    <w:p w:rsidR="00BC3B44" w:rsidRPr="0011163B" w:rsidRDefault="0002633C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Отже</w:t>
      </w:r>
      <w:r w:rsidR="00475546" w:rsidRPr="0011163B">
        <w:rPr>
          <w:rFonts w:ascii="Arial Narrow" w:hAnsi="Arial Narrow"/>
          <w:sz w:val="24"/>
          <w:szCs w:val="24"/>
          <w:lang w:val="uk-UA"/>
        </w:rPr>
        <w:t xml:space="preserve">, </w:t>
      </w:r>
      <w:r w:rsidRPr="0011163B">
        <w:rPr>
          <w:rFonts w:ascii="Arial Narrow" w:hAnsi="Arial Narrow"/>
          <w:sz w:val="24"/>
          <w:szCs w:val="24"/>
          <w:lang w:val="uk-UA"/>
        </w:rPr>
        <w:t>згідно з положеннями Проекту постанови, суб’єкти господарювання, які здійснюють діяльність з утилізації та/або знешкодження 15 і більше небезпечних відходів одночасно можуть бути віднесені і до високого</w:t>
      </w:r>
      <w:r w:rsidR="0019125E">
        <w:rPr>
          <w:rFonts w:ascii="Arial Narrow" w:hAnsi="Arial Narrow"/>
          <w:sz w:val="24"/>
          <w:szCs w:val="24"/>
          <w:lang w:val="uk-UA"/>
        </w:rPr>
        <w:t>,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 і до незначного ступенів ризику. </w:t>
      </w:r>
    </w:p>
    <w:p w:rsidR="00BC3B44" w:rsidRPr="0011163B" w:rsidRDefault="0002633C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Пунктом 7 Проекту постанови передбачено, що у разі, коли суб’єкт господарювання може бути віднесений одночасно до двох або більше ступенів ризику, такий суб’єкт відноситься до більш високого ступеня ризику з числа тих, до яких він може належати.</w:t>
      </w:r>
    </w:p>
    <w:p w:rsidR="00BC3B44" w:rsidRPr="0011163B" w:rsidRDefault="00ED661B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З огляду на зазначене, суб’єкти господарювання, які здійснюють діяльність з утилізації та/або знешкодження 15 і більше небезпечних відходів завжди будуть відноситись до високого ступеня ризику.</w:t>
      </w:r>
    </w:p>
    <w:p w:rsidR="00D536C8" w:rsidRPr="0011163B" w:rsidRDefault="00E13AF1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 xml:space="preserve">Згідно з пунктом 10 Методики </w:t>
      </w:r>
      <w:r w:rsidR="00D536C8" w:rsidRPr="0011163B">
        <w:rPr>
          <w:rFonts w:ascii="Arial Narrow" w:hAnsi="Arial Narrow"/>
          <w:sz w:val="24"/>
          <w:szCs w:val="24"/>
          <w:lang w:val="uk-UA"/>
        </w:rPr>
        <w:t>критерії повинні визначати:</w:t>
      </w:r>
    </w:p>
    <w:p w:rsidR="00BC3B44" w:rsidRPr="0011163B" w:rsidRDefault="00D536C8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- чіткі, зрозумілі та вимірювальні показники, за якими визначається ступінь ризику;</w:t>
      </w:r>
    </w:p>
    <w:p w:rsidR="00D536C8" w:rsidRPr="0011163B" w:rsidRDefault="00D536C8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- граничні величини (кількісні показники) віднесення суб’єктів господарювання до того чи іншого ступеня ризику.</w:t>
      </w:r>
    </w:p>
    <w:p w:rsidR="00BC3B44" w:rsidRPr="0011163B" w:rsidRDefault="005642CB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Проте розмежування за високим та середнім ступенем ризику суб’єктів господарювання, які здійснюють утилізацію та/або знешкодження відходів, здійснене в Проекті постанови без урахування вимог пункту 10 Методики</w:t>
      </w:r>
      <w:r w:rsidR="00831BE4" w:rsidRPr="0011163B">
        <w:rPr>
          <w:rFonts w:ascii="Arial Narrow" w:hAnsi="Arial Narrow"/>
          <w:sz w:val="24"/>
          <w:szCs w:val="24"/>
          <w:lang w:val="uk-UA"/>
        </w:rPr>
        <w:t xml:space="preserve"> та є непрозорим, нечітким і спрямованим лише на миттєве віднесення зазначеної вище категорії суб’єктів господарювання до високого ступеня ризику</w:t>
      </w:r>
      <w:r w:rsidRPr="0011163B">
        <w:rPr>
          <w:rFonts w:ascii="Arial Narrow" w:hAnsi="Arial Narrow"/>
          <w:sz w:val="24"/>
          <w:szCs w:val="24"/>
          <w:lang w:val="uk-UA"/>
        </w:rPr>
        <w:t>.</w:t>
      </w:r>
    </w:p>
    <w:p w:rsidR="00BC3B44" w:rsidRPr="0011163B" w:rsidRDefault="006656DF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  <w:r w:rsidRPr="0011163B">
        <w:rPr>
          <w:rFonts w:ascii="Arial Narrow" w:hAnsi="Arial Narrow"/>
          <w:sz w:val="24"/>
          <w:szCs w:val="24"/>
          <w:lang w:val="uk-UA"/>
        </w:rPr>
        <w:t>Враховуючи необхідність дотримання вимог Методики</w:t>
      </w:r>
      <w:r w:rsidR="00850ADB">
        <w:rPr>
          <w:rFonts w:ascii="Arial Narrow" w:hAnsi="Arial Narrow"/>
          <w:sz w:val="24"/>
          <w:szCs w:val="24"/>
          <w:lang w:val="uk-UA"/>
        </w:rPr>
        <w:t xml:space="preserve"> та досягнення однозначності трактування зазначеного положення</w:t>
      </w:r>
      <w:r w:rsidR="0050329F" w:rsidRPr="0011163B">
        <w:rPr>
          <w:rFonts w:ascii="Arial Narrow" w:hAnsi="Arial Narrow"/>
          <w:sz w:val="24"/>
          <w:szCs w:val="24"/>
          <w:lang w:val="uk-UA"/>
        </w:rPr>
        <w:t>,</w:t>
      </w:r>
      <w:r w:rsidRPr="0011163B">
        <w:rPr>
          <w:rFonts w:ascii="Arial Narrow" w:hAnsi="Arial Narrow"/>
          <w:sz w:val="24"/>
          <w:szCs w:val="24"/>
          <w:lang w:val="uk-UA"/>
        </w:rPr>
        <w:t xml:space="preserve"> пропонуємо </w:t>
      </w:r>
      <w:r w:rsidR="00992069">
        <w:rPr>
          <w:rFonts w:ascii="Arial Narrow" w:hAnsi="Arial Narrow"/>
          <w:sz w:val="24"/>
          <w:szCs w:val="24"/>
          <w:lang w:val="uk-UA"/>
        </w:rPr>
        <w:t>абзац</w:t>
      </w:r>
      <w:r w:rsidR="004D1560" w:rsidRPr="0011163B">
        <w:rPr>
          <w:rFonts w:ascii="Arial Narrow" w:hAnsi="Arial Narrow"/>
          <w:sz w:val="24"/>
          <w:szCs w:val="24"/>
          <w:lang w:val="uk-UA"/>
        </w:rPr>
        <w:t xml:space="preserve"> </w:t>
      </w:r>
      <w:r w:rsidR="00850ADB">
        <w:rPr>
          <w:rFonts w:ascii="Arial Narrow" w:hAnsi="Arial Narrow"/>
          <w:sz w:val="24"/>
          <w:szCs w:val="24"/>
          <w:lang w:val="uk-UA"/>
        </w:rPr>
        <w:t>3</w:t>
      </w:r>
      <w:r w:rsidR="004D1560" w:rsidRPr="0011163B">
        <w:rPr>
          <w:rFonts w:ascii="Arial Narrow" w:hAnsi="Arial Narrow"/>
          <w:sz w:val="24"/>
          <w:szCs w:val="24"/>
          <w:lang w:val="uk-UA"/>
        </w:rPr>
        <w:t xml:space="preserve"> пункту 4 Проекту постанови </w:t>
      </w:r>
      <w:r w:rsidR="005564CD" w:rsidRPr="0011163B">
        <w:rPr>
          <w:rFonts w:ascii="Arial Narrow" w:hAnsi="Arial Narrow"/>
          <w:sz w:val="24"/>
          <w:szCs w:val="24"/>
          <w:lang w:val="uk-UA"/>
        </w:rPr>
        <w:t xml:space="preserve">викласти </w:t>
      </w:r>
      <w:r w:rsidR="00992069">
        <w:rPr>
          <w:rFonts w:ascii="Arial Narrow" w:hAnsi="Arial Narrow"/>
          <w:sz w:val="24"/>
          <w:szCs w:val="24"/>
          <w:lang w:val="uk-UA"/>
        </w:rPr>
        <w:t>в наступних редакціях</w:t>
      </w:r>
      <w:r w:rsidR="005564CD" w:rsidRPr="0011163B">
        <w:rPr>
          <w:rFonts w:ascii="Arial Narrow" w:hAnsi="Arial Narrow"/>
          <w:sz w:val="24"/>
          <w:szCs w:val="24"/>
          <w:lang w:val="uk-UA"/>
        </w:rPr>
        <w:t xml:space="preserve">: «здійснюють </w:t>
      </w:r>
      <w:r w:rsidR="00850ADB">
        <w:rPr>
          <w:rFonts w:ascii="Arial Narrow" w:hAnsi="Arial Narrow"/>
          <w:sz w:val="24"/>
          <w:szCs w:val="24"/>
          <w:lang w:val="uk-UA"/>
        </w:rPr>
        <w:t xml:space="preserve">іншу діяльність </w:t>
      </w:r>
      <w:r w:rsidR="005564CD" w:rsidRPr="0011163B">
        <w:rPr>
          <w:rFonts w:ascii="Arial Narrow" w:hAnsi="Arial Narrow"/>
          <w:sz w:val="24"/>
          <w:szCs w:val="24"/>
          <w:lang w:val="uk-UA"/>
        </w:rPr>
        <w:t>з кількістю видів небезпечних відходів 15 та більше»</w:t>
      </w:r>
      <w:r w:rsidR="00850ADB">
        <w:rPr>
          <w:rFonts w:ascii="Arial Narrow" w:hAnsi="Arial Narrow"/>
          <w:sz w:val="24"/>
          <w:szCs w:val="24"/>
          <w:lang w:val="uk-UA"/>
        </w:rPr>
        <w:t xml:space="preserve"> або «здійснюють діяльність з кількістю видів небезпечних відходів 15 та більше, крім </w:t>
      </w:r>
      <w:r w:rsidR="006073DF">
        <w:rPr>
          <w:rFonts w:ascii="Arial Narrow" w:hAnsi="Arial Narrow"/>
          <w:sz w:val="24"/>
          <w:szCs w:val="24"/>
          <w:lang w:val="uk-UA"/>
        </w:rPr>
        <w:t xml:space="preserve">діяльності з </w:t>
      </w:r>
      <w:r w:rsidR="00850ADB">
        <w:rPr>
          <w:rFonts w:ascii="Arial Narrow" w:hAnsi="Arial Narrow"/>
          <w:sz w:val="24"/>
          <w:szCs w:val="24"/>
          <w:lang w:val="uk-UA"/>
        </w:rPr>
        <w:t>утилізації та/або знешкодження небезпечних відходів»</w:t>
      </w:r>
      <w:r w:rsidR="005564CD" w:rsidRPr="0011163B">
        <w:rPr>
          <w:rFonts w:ascii="Arial Narrow" w:hAnsi="Arial Narrow"/>
          <w:sz w:val="24"/>
          <w:szCs w:val="24"/>
          <w:lang w:val="uk-UA"/>
        </w:rPr>
        <w:t>.</w:t>
      </w:r>
    </w:p>
    <w:p w:rsidR="00BC3B44" w:rsidRPr="0011163B" w:rsidRDefault="00BC3B44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BC3B44" w:rsidRPr="0011163B" w:rsidRDefault="00BC3B44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BC3B44" w:rsidRPr="0011163B" w:rsidRDefault="00BC3B44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BC3B44" w:rsidRPr="0011163B" w:rsidRDefault="00BC3B44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BC3B44" w:rsidRPr="0011163B" w:rsidRDefault="00BC3B44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BC3B44" w:rsidRPr="0011163B" w:rsidRDefault="00BC3B44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BC3B44" w:rsidRPr="0011163B" w:rsidRDefault="00BC3B44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p w:rsidR="00BC3B44" w:rsidRPr="0011163B" w:rsidRDefault="00BC3B44" w:rsidP="00B01196">
      <w:pPr>
        <w:spacing w:after="0" w:line="0" w:lineRule="atLeast"/>
        <w:ind w:firstLine="567"/>
        <w:jc w:val="both"/>
        <w:rPr>
          <w:rFonts w:ascii="Arial Narrow" w:hAnsi="Arial Narrow"/>
          <w:sz w:val="24"/>
          <w:szCs w:val="24"/>
          <w:lang w:val="uk-UA"/>
        </w:rPr>
      </w:pPr>
    </w:p>
    <w:sectPr w:rsidR="00BC3B44" w:rsidRPr="0011163B" w:rsidSect="00B6195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3"/>
    <w:rsid w:val="0002046A"/>
    <w:rsid w:val="0002633C"/>
    <w:rsid w:val="000B2542"/>
    <w:rsid w:val="000C51B3"/>
    <w:rsid w:val="000D3E3E"/>
    <w:rsid w:val="000F0DA3"/>
    <w:rsid w:val="000F333D"/>
    <w:rsid w:val="00102D11"/>
    <w:rsid w:val="0011163B"/>
    <w:rsid w:val="00115589"/>
    <w:rsid w:val="00145C0A"/>
    <w:rsid w:val="00163DDC"/>
    <w:rsid w:val="00175350"/>
    <w:rsid w:val="0019125E"/>
    <w:rsid w:val="001D5C12"/>
    <w:rsid w:val="001F21EC"/>
    <w:rsid w:val="0020198C"/>
    <w:rsid w:val="00213A19"/>
    <w:rsid w:val="00237A55"/>
    <w:rsid w:val="00246615"/>
    <w:rsid w:val="00295B26"/>
    <w:rsid w:val="002A07CE"/>
    <w:rsid w:val="002C01BA"/>
    <w:rsid w:val="00307995"/>
    <w:rsid w:val="00310B76"/>
    <w:rsid w:val="0038545C"/>
    <w:rsid w:val="003A70C2"/>
    <w:rsid w:val="003D372A"/>
    <w:rsid w:val="0040588D"/>
    <w:rsid w:val="00415529"/>
    <w:rsid w:val="00461D82"/>
    <w:rsid w:val="00462421"/>
    <w:rsid w:val="0047397E"/>
    <w:rsid w:val="00475546"/>
    <w:rsid w:val="0048528B"/>
    <w:rsid w:val="00491D78"/>
    <w:rsid w:val="004C7169"/>
    <w:rsid w:val="004D1560"/>
    <w:rsid w:val="004D4B5C"/>
    <w:rsid w:val="0050329F"/>
    <w:rsid w:val="00504342"/>
    <w:rsid w:val="00510A7B"/>
    <w:rsid w:val="005564CD"/>
    <w:rsid w:val="005642CB"/>
    <w:rsid w:val="00574F13"/>
    <w:rsid w:val="005757FD"/>
    <w:rsid w:val="00591B7A"/>
    <w:rsid w:val="00596F85"/>
    <w:rsid w:val="005A1B7F"/>
    <w:rsid w:val="005A2277"/>
    <w:rsid w:val="005B5C02"/>
    <w:rsid w:val="005C1622"/>
    <w:rsid w:val="006073DF"/>
    <w:rsid w:val="0063118B"/>
    <w:rsid w:val="006564D6"/>
    <w:rsid w:val="006656DF"/>
    <w:rsid w:val="007523F4"/>
    <w:rsid w:val="007746E5"/>
    <w:rsid w:val="0077509B"/>
    <w:rsid w:val="00794A21"/>
    <w:rsid w:val="007C12E9"/>
    <w:rsid w:val="007F4580"/>
    <w:rsid w:val="007F6E9D"/>
    <w:rsid w:val="00831BE4"/>
    <w:rsid w:val="00850ADB"/>
    <w:rsid w:val="0086593B"/>
    <w:rsid w:val="008704B2"/>
    <w:rsid w:val="00896353"/>
    <w:rsid w:val="008B000F"/>
    <w:rsid w:val="008C02DA"/>
    <w:rsid w:val="00973626"/>
    <w:rsid w:val="00992069"/>
    <w:rsid w:val="00994754"/>
    <w:rsid w:val="009D4897"/>
    <w:rsid w:val="00A757CD"/>
    <w:rsid w:val="00A808AF"/>
    <w:rsid w:val="00A9314C"/>
    <w:rsid w:val="00AB5E16"/>
    <w:rsid w:val="00AF110F"/>
    <w:rsid w:val="00B01196"/>
    <w:rsid w:val="00B01FA5"/>
    <w:rsid w:val="00B524B6"/>
    <w:rsid w:val="00B60FD5"/>
    <w:rsid w:val="00B6195A"/>
    <w:rsid w:val="00B80E17"/>
    <w:rsid w:val="00B91D0E"/>
    <w:rsid w:val="00BC3B44"/>
    <w:rsid w:val="00BC50A2"/>
    <w:rsid w:val="00BD08CB"/>
    <w:rsid w:val="00C045A6"/>
    <w:rsid w:val="00C14613"/>
    <w:rsid w:val="00C17630"/>
    <w:rsid w:val="00C54E18"/>
    <w:rsid w:val="00C9072D"/>
    <w:rsid w:val="00CE071E"/>
    <w:rsid w:val="00D248B6"/>
    <w:rsid w:val="00D27DDE"/>
    <w:rsid w:val="00D536C8"/>
    <w:rsid w:val="00D54D68"/>
    <w:rsid w:val="00D7271A"/>
    <w:rsid w:val="00DA0358"/>
    <w:rsid w:val="00E13AF1"/>
    <w:rsid w:val="00E6087A"/>
    <w:rsid w:val="00EB2582"/>
    <w:rsid w:val="00EC4A07"/>
    <w:rsid w:val="00ED357F"/>
    <w:rsid w:val="00ED661B"/>
    <w:rsid w:val="00EE331B"/>
    <w:rsid w:val="00EE4DD5"/>
    <w:rsid w:val="00F117E8"/>
    <w:rsid w:val="00F574C1"/>
    <w:rsid w:val="00F742C6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945C9-8507-4CA6-B0BC-A75B3165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4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2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42C6"/>
    <w:rPr>
      <w:color w:val="0000FF"/>
      <w:u w:val="single"/>
    </w:rPr>
  </w:style>
  <w:style w:type="paragraph" w:customStyle="1" w:styleId="rvps12">
    <w:name w:val="rvps12"/>
    <w:basedOn w:val="a"/>
    <w:rsid w:val="00C0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C045A6"/>
  </w:style>
  <w:style w:type="character" w:customStyle="1" w:styleId="apple-converted-space">
    <w:name w:val="apple-converted-space"/>
    <w:basedOn w:val="a0"/>
    <w:rsid w:val="00C045A6"/>
  </w:style>
  <w:style w:type="paragraph" w:customStyle="1" w:styleId="rvps6">
    <w:name w:val="rvps6"/>
    <w:basedOn w:val="a"/>
    <w:rsid w:val="00C04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045A6"/>
  </w:style>
  <w:style w:type="paragraph" w:customStyle="1" w:styleId="rvps2">
    <w:name w:val="rvps2"/>
    <w:basedOn w:val="a"/>
    <w:rsid w:val="00D2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3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1A02-834C-46A4-B71D-3A2D454A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Leonid Lytvynenko</cp:lastModifiedBy>
  <cp:revision>2</cp:revision>
  <cp:lastPrinted>2016-01-27T13:09:00Z</cp:lastPrinted>
  <dcterms:created xsi:type="dcterms:W3CDTF">2016-12-15T12:14:00Z</dcterms:created>
  <dcterms:modified xsi:type="dcterms:W3CDTF">2016-12-15T12:14:00Z</dcterms:modified>
</cp:coreProperties>
</file>