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D2F" w:rsidRPr="003C4D9A" w:rsidRDefault="00D62AB7" w:rsidP="00776251">
      <w:pPr>
        <w:spacing w:line="240" w:lineRule="auto"/>
        <w:jc w:val="center"/>
        <w:rPr>
          <w:color w:val="auto"/>
          <w:lang w:val="uk-UA"/>
        </w:rPr>
      </w:pPr>
      <w:r w:rsidRPr="003C4D9A">
        <w:rPr>
          <w:rFonts w:ascii="Times New Roman" w:eastAsia="Times New Roman" w:hAnsi="Times New Roman" w:cs="Times New Roman"/>
          <w:b/>
          <w:color w:val="auto"/>
          <w:sz w:val="24"/>
          <w:szCs w:val="24"/>
          <w:lang w:val="uk-UA"/>
        </w:rPr>
        <w:t>АНАЛІЗ РЕГУЛЯТОРНОГО ВПЛИВУ</w:t>
      </w:r>
    </w:p>
    <w:p w:rsidR="008E7D2F" w:rsidRPr="003C4D9A" w:rsidRDefault="00D62AB7" w:rsidP="00776251">
      <w:pPr>
        <w:spacing w:line="240" w:lineRule="auto"/>
        <w:jc w:val="center"/>
        <w:rPr>
          <w:color w:val="auto"/>
          <w:lang w:val="uk-UA"/>
        </w:rPr>
      </w:pPr>
      <w:r w:rsidRPr="003C4D9A">
        <w:rPr>
          <w:rFonts w:ascii="Times New Roman" w:eastAsia="Times New Roman" w:hAnsi="Times New Roman" w:cs="Times New Roman"/>
          <w:b/>
          <w:color w:val="auto"/>
          <w:sz w:val="24"/>
          <w:szCs w:val="24"/>
          <w:lang w:val="uk-UA"/>
        </w:rPr>
        <w:t>Проекту Постанови Кабінету Міністрів України "Про внесення змін до Постанови Кабінету Міністрів України від 28.08.2013р. №808"</w:t>
      </w:r>
    </w:p>
    <w:p w:rsidR="008E7D2F" w:rsidRPr="003C4D9A" w:rsidRDefault="008E7D2F" w:rsidP="00776251">
      <w:pPr>
        <w:spacing w:line="240" w:lineRule="auto"/>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І. Визначення проблеми</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 xml:space="preserve">Проблема, яку передбачається розв’язати шляхом державного регулювання: </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7"/>
          <w:szCs w:val="27"/>
          <w:lang w:val="uk-UA"/>
        </w:rPr>
        <w:t>Згідно зі ст. 13 Закону України «Про екологічну експертизу», Кабінет Міністрів України, за поданням центрального органу виконавчої влади, що забезпечує формування державної політики у сфері охорони навколишнього природного середовища, і центрального органу виконавчої влади, що забезпечує формування державної політики у сфері охорони здоров'я, визначає перелік видів діяльності та об'єктів, що становлять підвищену екологічну небезпеку.</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7"/>
          <w:szCs w:val="27"/>
          <w:lang w:val="uk-UA"/>
        </w:rPr>
        <w:t>Разом з тим даним Законом не встановлено жодного критерію віднесення видів діяльності та об'єктів до таких, що становлять підвищену екологічну небезпеку.</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7"/>
          <w:szCs w:val="27"/>
          <w:lang w:val="uk-UA"/>
        </w:rPr>
        <w:t xml:space="preserve">На виконання зазначеної статті, Кабінет Міністрів України прийняв Постанову від 28.08.2013 р. №808, у якій визначив перелік </w:t>
      </w:r>
      <w:r w:rsidRPr="003C4D9A">
        <w:rPr>
          <w:rFonts w:ascii="Times New Roman" w:eastAsia="Times New Roman" w:hAnsi="Times New Roman" w:cs="Times New Roman"/>
          <w:color w:val="auto"/>
          <w:sz w:val="28"/>
          <w:szCs w:val="28"/>
          <w:lang w:val="uk-UA"/>
        </w:rPr>
        <w:t xml:space="preserve">видів діяльності та об’єктів, що становлять підвищену екологічну небезпеку. У 2 абзаці п. 23 даної Постанови зазначені м’ясокомбінати та м’ясопереробні підприємства. Це означає, що кожен такий суб’єкт господарювання зобов’язаний проходити екологічну експертизу. </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8"/>
          <w:szCs w:val="28"/>
          <w:lang w:val="uk-UA"/>
        </w:rPr>
        <w:t xml:space="preserve">Таким чином, виникає ситуація, коли усі новозбудовані і діючі м’ясокомбінати та м’ясопереробні підприємства зобов’язані проходити екологічну експертизу. </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8"/>
          <w:szCs w:val="28"/>
          <w:lang w:val="uk-UA"/>
        </w:rPr>
        <w:t xml:space="preserve">Проте, як визначено Наказом Державного департаменту ветеринарної медицини Мінагрополітики від 07.06.2002 р. №28, м’ясопереробні підприємства - суб'єкти господарювання будь-якої форми власності, що здійснюють переробку м'яса та інших продуктів забою, виробництво, зберігання та реалізацію м'ясних продуктів. </w:t>
      </w:r>
    </w:p>
    <w:p w:rsidR="008E7D2F" w:rsidRPr="003C4D9A" w:rsidRDefault="00D62AB7" w:rsidP="00776251">
      <w:pPr>
        <w:spacing w:line="240" w:lineRule="auto"/>
        <w:ind w:firstLine="709"/>
        <w:jc w:val="both"/>
        <w:rPr>
          <w:rFonts w:ascii="Times New Roman" w:eastAsia="Times New Roman" w:hAnsi="Times New Roman" w:cs="Times New Roman"/>
          <w:color w:val="auto"/>
          <w:sz w:val="28"/>
          <w:szCs w:val="28"/>
          <w:lang w:val="uk-UA"/>
        </w:rPr>
      </w:pPr>
      <w:r w:rsidRPr="003C4D9A">
        <w:rPr>
          <w:rFonts w:ascii="Times New Roman" w:eastAsia="Times New Roman" w:hAnsi="Times New Roman" w:cs="Times New Roman"/>
          <w:color w:val="auto"/>
          <w:sz w:val="28"/>
          <w:szCs w:val="28"/>
          <w:lang w:val="uk-UA"/>
        </w:rPr>
        <w:t xml:space="preserve">Таким чином м’ясопереробні підприємства виконуючи операції лише з </w:t>
      </w:r>
      <w:proofErr w:type="spellStart"/>
      <w:r w:rsidRPr="003C4D9A">
        <w:rPr>
          <w:rFonts w:ascii="Times New Roman" w:eastAsia="Times New Roman" w:hAnsi="Times New Roman" w:cs="Times New Roman"/>
          <w:color w:val="auto"/>
          <w:sz w:val="28"/>
          <w:szCs w:val="28"/>
          <w:lang w:val="uk-UA"/>
        </w:rPr>
        <w:t>післязабійною</w:t>
      </w:r>
      <w:proofErr w:type="spellEnd"/>
      <w:r w:rsidRPr="003C4D9A">
        <w:rPr>
          <w:rFonts w:ascii="Times New Roman" w:eastAsia="Times New Roman" w:hAnsi="Times New Roman" w:cs="Times New Roman"/>
          <w:color w:val="auto"/>
          <w:sz w:val="28"/>
          <w:szCs w:val="28"/>
          <w:lang w:val="uk-UA"/>
        </w:rPr>
        <w:t xml:space="preserve"> продукцією та не продукуючи боєнських відходів, не можуть вважатися такими, що становлять підвищену екологічну небезпеку. Оскільки їх можливості негативного впливу на навколишнє середовище є значно нижчими порівняно із тваринницькими комплексами для вирощування тварин та/або відгодівлі. Виключенням можуть бути м’ясопереробні підприємства, які самостійно здійснюють забій. </w:t>
      </w:r>
    </w:p>
    <w:p w:rsidR="00180D28" w:rsidRPr="003C4D9A" w:rsidRDefault="00180D28" w:rsidP="00776251">
      <w:pPr>
        <w:spacing w:line="240" w:lineRule="auto"/>
        <w:ind w:firstLine="709"/>
        <w:jc w:val="both"/>
        <w:rPr>
          <w:rFonts w:ascii="Times New Roman" w:hAnsi="Times New Roman" w:cs="Times New Roman"/>
          <w:color w:val="auto"/>
          <w:sz w:val="28"/>
          <w:szCs w:val="28"/>
          <w:lang w:val="uk-UA"/>
        </w:rPr>
      </w:pPr>
      <w:r w:rsidRPr="003C4D9A">
        <w:rPr>
          <w:rFonts w:ascii="Times New Roman" w:hAnsi="Times New Roman" w:cs="Times New Roman"/>
          <w:color w:val="auto"/>
          <w:sz w:val="28"/>
          <w:szCs w:val="28"/>
          <w:lang w:val="uk-UA"/>
        </w:rPr>
        <w:t>При цьому, за науковими даними, кількість безумовно використовуваних продуктів забою великої рогатої худоби (м’ясо, їстівні субпродукти та шкіра) складає до 50%.</w:t>
      </w:r>
    </w:p>
    <w:p w:rsidR="00180D28" w:rsidRPr="003C4D9A" w:rsidRDefault="00180D28" w:rsidP="00776251">
      <w:pPr>
        <w:spacing w:line="240" w:lineRule="auto"/>
        <w:ind w:firstLine="709"/>
        <w:jc w:val="both"/>
        <w:rPr>
          <w:rFonts w:ascii="Times New Roman" w:hAnsi="Times New Roman" w:cs="Times New Roman"/>
          <w:color w:val="auto"/>
          <w:sz w:val="28"/>
          <w:szCs w:val="28"/>
          <w:lang w:val="uk-UA"/>
        </w:rPr>
      </w:pPr>
      <w:r w:rsidRPr="003C4D9A">
        <w:rPr>
          <w:rFonts w:ascii="Times New Roman" w:hAnsi="Times New Roman" w:cs="Times New Roman"/>
          <w:color w:val="auto"/>
          <w:sz w:val="28"/>
          <w:szCs w:val="28"/>
          <w:lang w:val="uk-UA"/>
        </w:rPr>
        <w:t xml:space="preserve">Таким чином основна маса відходів, що може нести екологічну небезпеку, при виробництві м’яса та м’ясопродуктів формується саме під час безпосереднього забою. </w:t>
      </w:r>
      <w:r w:rsidR="00C8422E" w:rsidRPr="003C4D9A">
        <w:rPr>
          <w:rFonts w:ascii="Times New Roman" w:hAnsi="Times New Roman" w:cs="Times New Roman"/>
          <w:color w:val="auto"/>
          <w:sz w:val="28"/>
          <w:szCs w:val="28"/>
          <w:lang w:val="uk-UA"/>
        </w:rPr>
        <w:t>Тобто, бі</w:t>
      </w:r>
      <w:r w:rsidRPr="003C4D9A">
        <w:rPr>
          <w:rFonts w:ascii="Times New Roman" w:hAnsi="Times New Roman" w:cs="Times New Roman"/>
          <w:color w:val="auto"/>
          <w:sz w:val="28"/>
          <w:szCs w:val="28"/>
          <w:lang w:val="uk-UA"/>
        </w:rPr>
        <w:t xml:space="preserve">йні генерують основну масу побічних продуктів тваринного походження, в незалежності від цілей забою. </w:t>
      </w:r>
      <w:r w:rsidR="00C8422E" w:rsidRPr="003C4D9A">
        <w:rPr>
          <w:rFonts w:ascii="Times New Roman" w:hAnsi="Times New Roman" w:cs="Times New Roman"/>
          <w:color w:val="auto"/>
          <w:sz w:val="28"/>
          <w:szCs w:val="28"/>
          <w:lang w:val="uk-UA"/>
        </w:rPr>
        <w:t>В тому числі</w:t>
      </w:r>
      <w:r w:rsidRPr="003C4D9A">
        <w:rPr>
          <w:rFonts w:ascii="Times New Roman" w:hAnsi="Times New Roman" w:cs="Times New Roman"/>
          <w:color w:val="auto"/>
          <w:sz w:val="28"/>
          <w:szCs w:val="28"/>
          <w:lang w:val="uk-UA"/>
        </w:rPr>
        <w:t xml:space="preserve">, </w:t>
      </w:r>
      <w:r w:rsidR="00C8422E" w:rsidRPr="003C4D9A">
        <w:rPr>
          <w:rFonts w:ascii="Times New Roman" w:hAnsi="Times New Roman" w:cs="Times New Roman"/>
          <w:color w:val="auto"/>
          <w:sz w:val="28"/>
          <w:szCs w:val="28"/>
          <w:lang w:val="uk-UA"/>
        </w:rPr>
        <w:t xml:space="preserve">здійснення </w:t>
      </w:r>
      <w:r w:rsidRPr="003C4D9A">
        <w:rPr>
          <w:rFonts w:ascii="Times New Roman" w:hAnsi="Times New Roman" w:cs="Times New Roman"/>
          <w:color w:val="auto"/>
          <w:sz w:val="28"/>
          <w:szCs w:val="28"/>
          <w:lang w:val="uk-UA"/>
        </w:rPr>
        <w:t>ветеринарно-санітарн</w:t>
      </w:r>
      <w:r w:rsidR="00C8422E" w:rsidRPr="003C4D9A">
        <w:rPr>
          <w:rFonts w:ascii="Times New Roman" w:hAnsi="Times New Roman" w:cs="Times New Roman"/>
          <w:color w:val="auto"/>
          <w:sz w:val="28"/>
          <w:szCs w:val="28"/>
          <w:lang w:val="uk-UA"/>
        </w:rPr>
        <w:t>ого</w:t>
      </w:r>
      <w:r w:rsidRPr="003C4D9A">
        <w:rPr>
          <w:rFonts w:ascii="Times New Roman" w:hAnsi="Times New Roman" w:cs="Times New Roman"/>
          <w:color w:val="auto"/>
          <w:sz w:val="28"/>
          <w:szCs w:val="28"/>
          <w:lang w:val="uk-UA"/>
        </w:rPr>
        <w:t xml:space="preserve"> заб</w:t>
      </w:r>
      <w:r w:rsidR="00C8422E" w:rsidRPr="003C4D9A">
        <w:rPr>
          <w:rFonts w:ascii="Times New Roman" w:hAnsi="Times New Roman" w:cs="Times New Roman"/>
          <w:color w:val="auto"/>
          <w:sz w:val="28"/>
          <w:szCs w:val="28"/>
          <w:lang w:val="uk-UA"/>
        </w:rPr>
        <w:t>ою</w:t>
      </w:r>
      <w:r w:rsidRPr="003C4D9A">
        <w:rPr>
          <w:rFonts w:ascii="Times New Roman" w:hAnsi="Times New Roman" w:cs="Times New Roman"/>
          <w:color w:val="auto"/>
          <w:sz w:val="28"/>
          <w:szCs w:val="28"/>
          <w:lang w:val="uk-UA"/>
        </w:rPr>
        <w:t xml:space="preserve"> худоби та/або птиці </w:t>
      </w:r>
      <w:r w:rsidR="00C8422E" w:rsidRPr="003C4D9A">
        <w:rPr>
          <w:rFonts w:ascii="Times New Roman" w:hAnsi="Times New Roman" w:cs="Times New Roman"/>
          <w:color w:val="auto"/>
          <w:sz w:val="28"/>
          <w:szCs w:val="28"/>
          <w:lang w:val="uk-UA"/>
        </w:rPr>
        <w:t xml:space="preserve">може </w:t>
      </w:r>
      <w:r w:rsidRPr="003C4D9A">
        <w:rPr>
          <w:rFonts w:ascii="Times New Roman" w:hAnsi="Times New Roman" w:cs="Times New Roman"/>
          <w:color w:val="auto"/>
          <w:sz w:val="28"/>
          <w:szCs w:val="28"/>
          <w:lang w:val="uk-UA"/>
        </w:rPr>
        <w:t>генеру</w:t>
      </w:r>
      <w:r w:rsidR="00C8422E" w:rsidRPr="003C4D9A">
        <w:rPr>
          <w:rFonts w:ascii="Times New Roman" w:hAnsi="Times New Roman" w:cs="Times New Roman"/>
          <w:color w:val="auto"/>
          <w:sz w:val="28"/>
          <w:szCs w:val="28"/>
          <w:lang w:val="uk-UA"/>
        </w:rPr>
        <w:t>вати</w:t>
      </w:r>
      <w:r w:rsidRPr="003C4D9A">
        <w:rPr>
          <w:rFonts w:ascii="Times New Roman" w:hAnsi="Times New Roman" w:cs="Times New Roman"/>
          <w:color w:val="auto"/>
          <w:sz w:val="28"/>
          <w:szCs w:val="28"/>
          <w:lang w:val="uk-UA"/>
        </w:rPr>
        <w:t xml:space="preserve"> </w:t>
      </w:r>
      <w:r w:rsidR="00C8422E" w:rsidRPr="003C4D9A">
        <w:rPr>
          <w:rFonts w:ascii="Times New Roman" w:hAnsi="Times New Roman" w:cs="Times New Roman"/>
          <w:color w:val="auto"/>
          <w:sz w:val="28"/>
          <w:szCs w:val="28"/>
          <w:lang w:val="uk-UA"/>
        </w:rPr>
        <w:t>велику кількість</w:t>
      </w:r>
      <w:r w:rsidRPr="003C4D9A">
        <w:rPr>
          <w:rFonts w:ascii="Times New Roman" w:hAnsi="Times New Roman" w:cs="Times New Roman"/>
          <w:color w:val="auto"/>
          <w:sz w:val="28"/>
          <w:szCs w:val="28"/>
          <w:lang w:val="uk-UA"/>
        </w:rPr>
        <w:t xml:space="preserve"> побічних продуктів тваринного походження</w:t>
      </w:r>
      <w:r w:rsidR="00C8422E" w:rsidRPr="003C4D9A">
        <w:rPr>
          <w:rFonts w:ascii="Times New Roman" w:hAnsi="Times New Roman" w:cs="Times New Roman"/>
          <w:color w:val="auto"/>
          <w:sz w:val="28"/>
          <w:szCs w:val="28"/>
          <w:lang w:val="uk-UA"/>
        </w:rPr>
        <w:t xml:space="preserve">, що можуть нести </w:t>
      </w:r>
      <w:r w:rsidR="00C8422E" w:rsidRPr="003C4D9A">
        <w:rPr>
          <w:rFonts w:ascii="Times New Roman" w:hAnsi="Times New Roman" w:cs="Times New Roman"/>
          <w:color w:val="auto"/>
          <w:sz w:val="28"/>
          <w:szCs w:val="28"/>
          <w:lang w:val="uk-UA"/>
        </w:rPr>
        <w:lastRenderedPageBreak/>
        <w:t>великий екологічний ризик</w:t>
      </w:r>
      <w:r w:rsidRPr="003C4D9A">
        <w:rPr>
          <w:rFonts w:ascii="Times New Roman" w:hAnsi="Times New Roman" w:cs="Times New Roman"/>
          <w:color w:val="auto"/>
          <w:sz w:val="28"/>
          <w:szCs w:val="28"/>
          <w:lang w:val="uk-UA"/>
        </w:rPr>
        <w:t>.</w:t>
      </w:r>
    </w:p>
    <w:p w:rsidR="008E7D2F" w:rsidRPr="003C4D9A" w:rsidRDefault="00D62AB7" w:rsidP="00776251">
      <w:pPr>
        <w:spacing w:line="240" w:lineRule="auto"/>
        <w:ind w:firstLine="709"/>
        <w:jc w:val="both"/>
        <w:rPr>
          <w:color w:val="auto"/>
          <w:lang w:val="uk-UA"/>
        </w:rPr>
      </w:pPr>
      <w:r w:rsidRPr="003C4D9A">
        <w:rPr>
          <w:rFonts w:ascii="Times New Roman" w:eastAsia="Times New Roman" w:hAnsi="Times New Roman" w:cs="Times New Roman"/>
          <w:color w:val="auto"/>
          <w:sz w:val="28"/>
          <w:szCs w:val="28"/>
          <w:lang w:val="uk-UA"/>
        </w:rPr>
        <w:t xml:space="preserve">Враховуючи викладене, проблема державного регулювання полягає у застосуванні до всіх без виключення м’ясопереробних підприємств вимог щодо здійснення екологічної експертизи. Таке регулювання є надмірним та недостатньо </w:t>
      </w:r>
      <w:r w:rsidR="00180D28" w:rsidRPr="003C4D9A">
        <w:rPr>
          <w:rFonts w:ascii="Times New Roman" w:eastAsia="Times New Roman" w:hAnsi="Times New Roman" w:cs="Times New Roman"/>
          <w:color w:val="auto"/>
          <w:sz w:val="28"/>
          <w:szCs w:val="28"/>
          <w:lang w:val="uk-UA"/>
        </w:rPr>
        <w:t>обґрунтованим</w:t>
      </w:r>
      <w:r w:rsidR="00AF0827" w:rsidRPr="003C4D9A">
        <w:rPr>
          <w:rFonts w:ascii="Times New Roman" w:eastAsia="Times New Roman" w:hAnsi="Times New Roman" w:cs="Times New Roman"/>
          <w:color w:val="auto"/>
          <w:sz w:val="28"/>
          <w:szCs w:val="28"/>
          <w:lang w:val="uk-UA"/>
        </w:rPr>
        <w:t xml:space="preserve">, при цьому потужності на яких здійснюється діяльність з забою тварин та/або птиці, є джерелом з підвищеної екологічної небезпеки та опинилась поза межами регулювання, а саме державної екологічної експертизи. </w:t>
      </w:r>
    </w:p>
    <w:p w:rsidR="00180D28" w:rsidRPr="003C4D9A" w:rsidRDefault="00D62AB7" w:rsidP="00AF0827">
      <w:pPr>
        <w:spacing w:line="240" w:lineRule="auto"/>
        <w:ind w:firstLine="709"/>
        <w:jc w:val="both"/>
        <w:rPr>
          <w:rFonts w:ascii="Times New Roman" w:eastAsia="Times New Roman" w:hAnsi="Times New Roman" w:cs="Times New Roman"/>
          <w:color w:val="auto"/>
          <w:sz w:val="28"/>
          <w:szCs w:val="28"/>
          <w:lang w:val="uk-UA"/>
        </w:rPr>
      </w:pPr>
      <w:r w:rsidRPr="003C4D9A">
        <w:rPr>
          <w:rFonts w:ascii="Times New Roman" w:eastAsia="Times New Roman" w:hAnsi="Times New Roman" w:cs="Times New Roman"/>
          <w:color w:val="auto"/>
          <w:sz w:val="28"/>
          <w:szCs w:val="28"/>
          <w:lang w:val="uk-UA"/>
        </w:rPr>
        <w:t xml:space="preserve">Продовження застосування вимог Постанови №808, </w:t>
      </w:r>
      <w:r w:rsidR="00AF0827" w:rsidRPr="003C4D9A">
        <w:rPr>
          <w:rFonts w:ascii="Times New Roman" w:eastAsia="Times New Roman" w:hAnsi="Times New Roman" w:cs="Times New Roman"/>
          <w:color w:val="auto"/>
          <w:sz w:val="28"/>
          <w:szCs w:val="28"/>
          <w:lang w:val="uk-UA"/>
        </w:rPr>
        <w:t xml:space="preserve">в чинній редакції, </w:t>
      </w:r>
      <w:r w:rsidRPr="003C4D9A">
        <w:rPr>
          <w:rFonts w:ascii="Times New Roman" w:eastAsia="Times New Roman" w:hAnsi="Times New Roman" w:cs="Times New Roman"/>
          <w:color w:val="auto"/>
          <w:sz w:val="28"/>
          <w:szCs w:val="28"/>
          <w:lang w:val="uk-UA"/>
        </w:rPr>
        <w:t>до суб’єктів господарювання, що фактично не становлять підвищеної екологічної небезпеки</w:t>
      </w:r>
      <w:r w:rsidR="00AF0827" w:rsidRPr="003C4D9A">
        <w:rPr>
          <w:rFonts w:ascii="Times New Roman" w:eastAsia="Times New Roman" w:hAnsi="Times New Roman" w:cs="Times New Roman"/>
          <w:color w:val="auto"/>
          <w:sz w:val="28"/>
          <w:szCs w:val="28"/>
          <w:lang w:val="uk-UA"/>
        </w:rPr>
        <w:t xml:space="preserve"> і не застосуванням до діяльності, що становить підвищений екологічний ризик є некоректним і вимагає встановлення </w:t>
      </w:r>
      <w:r w:rsidR="00180D28" w:rsidRPr="003C4D9A">
        <w:rPr>
          <w:rFonts w:ascii="Times New Roman" w:eastAsia="Times New Roman" w:hAnsi="Times New Roman" w:cs="Times New Roman"/>
          <w:color w:val="auto"/>
          <w:sz w:val="28"/>
          <w:szCs w:val="28"/>
          <w:lang w:val="uk-UA"/>
        </w:rPr>
        <w:t>баланс</w:t>
      </w:r>
      <w:r w:rsidR="00AF0827" w:rsidRPr="003C4D9A">
        <w:rPr>
          <w:rFonts w:ascii="Times New Roman" w:eastAsia="Times New Roman" w:hAnsi="Times New Roman" w:cs="Times New Roman"/>
          <w:color w:val="auto"/>
          <w:sz w:val="28"/>
          <w:szCs w:val="28"/>
          <w:lang w:val="uk-UA"/>
        </w:rPr>
        <w:t>у</w:t>
      </w:r>
      <w:r w:rsidR="00180D28" w:rsidRPr="003C4D9A">
        <w:rPr>
          <w:rFonts w:ascii="Times New Roman" w:eastAsia="Times New Roman" w:hAnsi="Times New Roman" w:cs="Times New Roman"/>
          <w:color w:val="auto"/>
          <w:sz w:val="28"/>
          <w:szCs w:val="28"/>
          <w:lang w:val="uk-UA"/>
        </w:rPr>
        <w:t xml:space="preserve"> при застосування заходів із дерегуляції, стимулювання економічного розвитку та недопущенню зменшення державного контролю у сфері </w:t>
      </w:r>
      <w:r w:rsidR="00AF0827" w:rsidRPr="003C4D9A">
        <w:rPr>
          <w:rFonts w:ascii="Times New Roman" w:eastAsia="Times New Roman" w:hAnsi="Times New Roman" w:cs="Times New Roman"/>
          <w:color w:val="auto"/>
          <w:sz w:val="28"/>
          <w:szCs w:val="28"/>
          <w:lang w:val="uk-UA"/>
        </w:rPr>
        <w:t xml:space="preserve">екологічної </w:t>
      </w:r>
      <w:r w:rsidR="00180D28" w:rsidRPr="003C4D9A">
        <w:rPr>
          <w:rFonts w:ascii="Times New Roman" w:eastAsia="Times New Roman" w:hAnsi="Times New Roman" w:cs="Times New Roman"/>
          <w:color w:val="auto"/>
          <w:sz w:val="28"/>
          <w:szCs w:val="28"/>
          <w:lang w:val="uk-UA"/>
        </w:rPr>
        <w:t>безпеки</w:t>
      </w:r>
      <w:r w:rsidR="00AF0827" w:rsidRPr="003C4D9A">
        <w:rPr>
          <w:rFonts w:ascii="Times New Roman" w:eastAsia="Times New Roman" w:hAnsi="Times New Roman" w:cs="Times New Roman"/>
          <w:color w:val="auto"/>
          <w:sz w:val="28"/>
          <w:szCs w:val="28"/>
          <w:lang w:val="uk-UA"/>
        </w:rPr>
        <w:t>.</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b/>
          <w:color w:val="auto"/>
          <w:sz w:val="24"/>
          <w:szCs w:val="24"/>
          <w:lang w:val="uk-UA"/>
        </w:rPr>
        <w:t>Причина виникнення проблеми:</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 xml:space="preserve">Некоректне застосування </w:t>
      </w:r>
      <w:r w:rsidR="00AF0827" w:rsidRPr="003C4D9A">
        <w:rPr>
          <w:rFonts w:ascii="Times New Roman" w:eastAsia="Times New Roman" w:hAnsi="Times New Roman" w:cs="Times New Roman"/>
          <w:color w:val="auto"/>
          <w:sz w:val="24"/>
          <w:szCs w:val="24"/>
          <w:lang w:val="uk-UA"/>
        </w:rPr>
        <w:t>інструменту</w:t>
      </w:r>
      <w:r w:rsidRPr="003C4D9A">
        <w:rPr>
          <w:rFonts w:ascii="Times New Roman" w:eastAsia="Times New Roman" w:hAnsi="Times New Roman" w:cs="Times New Roman"/>
          <w:color w:val="auto"/>
          <w:sz w:val="24"/>
          <w:szCs w:val="24"/>
          <w:lang w:val="uk-UA"/>
        </w:rPr>
        <w:t xml:space="preserve"> </w:t>
      </w:r>
      <w:r w:rsidR="00AF0827" w:rsidRPr="003C4D9A">
        <w:rPr>
          <w:rFonts w:ascii="Times New Roman" w:eastAsia="Times New Roman" w:hAnsi="Times New Roman" w:cs="Times New Roman"/>
          <w:color w:val="auto"/>
          <w:sz w:val="24"/>
          <w:szCs w:val="24"/>
          <w:lang w:val="uk-UA"/>
        </w:rPr>
        <w:t xml:space="preserve">державної </w:t>
      </w:r>
      <w:r w:rsidRPr="003C4D9A">
        <w:rPr>
          <w:rFonts w:ascii="Times New Roman" w:eastAsia="Times New Roman" w:hAnsi="Times New Roman" w:cs="Times New Roman"/>
          <w:color w:val="auto"/>
          <w:sz w:val="24"/>
          <w:szCs w:val="24"/>
          <w:lang w:val="uk-UA"/>
        </w:rPr>
        <w:t>екологічної експертизи до всіх м’ясокомбінатів та м’ясопереробних підприємств</w:t>
      </w:r>
      <w:r w:rsidR="00DA5B62" w:rsidRPr="003C4D9A">
        <w:rPr>
          <w:rFonts w:ascii="Times New Roman" w:eastAsia="Times New Roman" w:hAnsi="Times New Roman" w:cs="Times New Roman"/>
          <w:color w:val="auto"/>
          <w:sz w:val="24"/>
          <w:szCs w:val="24"/>
          <w:lang w:val="uk-UA"/>
        </w:rPr>
        <w:t xml:space="preserve"> випливає з того, що м’ясокомбінати та м’ясопереробні підприємства в порівнянні із бійнями, є меншим джерелом побічних продуктів тваринного походження. </w:t>
      </w:r>
    </w:p>
    <w:p w:rsidR="008E7D2F" w:rsidRPr="003C4D9A" w:rsidRDefault="008E7D2F" w:rsidP="00776251">
      <w:pPr>
        <w:spacing w:line="240" w:lineRule="auto"/>
        <w:rPr>
          <w:color w:val="auto"/>
          <w:lang w:val="uk-UA"/>
        </w:rPr>
      </w:pP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Основні групи (підгрупи), на які проблема справляє вплив:</w:t>
      </w:r>
    </w:p>
    <w:tbl>
      <w:tblPr>
        <w:tblStyle w:val="21"/>
        <w:tblW w:w="9650" w:type="dxa"/>
        <w:tblInd w:w="-119" w:type="dxa"/>
        <w:tblLayout w:type="fixed"/>
        <w:tblLook w:val="0400" w:firstRow="0" w:lastRow="0" w:firstColumn="0" w:lastColumn="0" w:noHBand="0" w:noVBand="1"/>
      </w:tblPr>
      <w:tblGrid>
        <w:gridCol w:w="6175"/>
        <w:gridCol w:w="1750"/>
        <w:gridCol w:w="1725"/>
      </w:tblGrid>
      <w:tr w:rsidR="003C4D9A" w:rsidRPr="003C4D9A">
        <w:tc>
          <w:tcPr>
            <w:tcW w:w="6175"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Групи (підгрупи)</w:t>
            </w:r>
          </w:p>
        </w:tc>
        <w:tc>
          <w:tcPr>
            <w:tcW w:w="1750"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Так</w:t>
            </w:r>
          </w:p>
        </w:tc>
        <w:tc>
          <w:tcPr>
            <w:tcW w:w="17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Ні</w:t>
            </w:r>
          </w:p>
        </w:tc>
      </w:tr>
      <w:tr w:rsidR="003C4D9A" w:rsidRPr="003C4D9A">
        <w:tc>
          <w:tcPr>
            <w:tcW w:w="617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Держава</w:t>
            </w:r>
          </w:p>
        </w:tc>
        <w:tc>
          <w:tcPr>
            <w:tcW w:w="1750" w:type="dxa"/>
            <w:tcBorders>
              <w:left w:val="single" w:sz="4" w:space="0" w:color="000000"/>
              <w:bottom w:val="single" w:sz="4" w:space="0" w:color="000000"/>
            </w:tcBorders>
            <w:tcMar>
              <w:top w:w="55" w:type="dxa"/>
              <w:left w:w="55" w:type="dxa"/>
              <w:bottom w:w="55" w:type="dxa"/>
              <w:right w:w="55" w:type="dxa"/>
            </w:tcMar>
          </w:tcPr>
          <w:p w:rsidR="008E7D2F" w:rsidRPr="003C4D9A" w:rsidRDefault="00180D28"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180D28"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r>
      <w:tr w:rsidR="003C4D9A" w:rsidRPr="003C4D9A">
        <w:tc>
          <w:tcPr>
            <w:tcW w:w="617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Громадяни</w:t>
            </w:r>
          </w:p>
        </w:tc>
        <w:tc>
          <w:tcPr>
            <w:tcW w:w="1750" w:type="dxa"/>
            <w:tcBorders>
              <w:left w:val="single" w:sz="4" w:space="0" w:color="000000"/>
              <w:bottom w:val="single" w:sz="4" w:space="0" w:color="000000"/>
            </w:tcBorders>
            <w:tcMar>
              <w:top w:w="55" w:type="dxa"/>
              <w:left w:w="55" w:type="dxa"/>
              <w:bottom w:w="55" w:type="dxa"/>
              <w:right w:w="55" w:type="dxa"/>
            </w:tcMar>
          </w:tcPr>
          <w:p w:rsidR="008E7D2F" w:rsidRPr="003C4D9A" w:rsidRDefault="00180D28"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180D28"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r>
      <w:tr w:rsidR="003C4D9A" w:rsidRPr="003C4D9A">
        <w:tc>
          <w:tcPr>
            <w:tcW w:w="617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Суб’єкти господарювання</w:t>
            </w:r>
          </w:p>
        </w:tc>
        <w:tc>
          <w:tcPr>
            <w:tcW w:w="1750" w:type="dxa"/>
            <w:tcBorders>
              <w:left w:val="single" w:sz="4" w:space="0" w:color="000000"/>
              <w:bottom w:val="single" w:sz="4" w:space="0" w:color="000000"/>
            </w:tcBorders>
            <w:tcMar>
              <w:top w:w="55" w:type="dxa"/>
              <w:left w:w="55" w:type="dxa"/>
              <w:bottom w:w="55" w:type="dxa"/>
              <w:right w:w="55" w:type="dxa"/>
            </w:tcMar>
          </w:tcPr>
          <w:p w:rsidR="008E7D2F" w:rsidRPr="003C4D9A" w:rsidRDefault="00180D28"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r>
      <w:tr w:rsidR="003C4D9A" w:rsidRPr="003C4D9A">
        <w:tc>
          <w:tcPr>
            <w:tcW w:w="617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у тому числі суб’єкти малого підприємництва</w:t>
            </w:r>
          </w:p>
        </w:tc>
        <w:tc>
          <w:tcPr>
            <w:tcW w:w="1750"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r>
    </w:tbl>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Обґрунтування неможливості вирішення проблеми за допомогою ринкових механізмів:</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 xml:space="preserve">Згідно із ст. 16 Конституції України, питання екологічної безпеки знаходяться у компетенції держави. Тому дану проблему неможливо вирішити будь-яким іншим шляхом, аніж внесенням змін в чинне законодавство.  </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Обґрунтування неможливості вирішення проблеми за допомогою діючих регуляторних актів:</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Діюча Постанова КМУ №808 від 28.08.2013 року (далі – Постанова) є першоджерелом проблеми, оскільки некоректно застосовує інструмент екологічної експертизи до всіх м’ясокомбінатів та м’ясопереробних підприємств</w:t>
      </w:r>
      <w:r w:rsidR="00180D28" w:rsidRPr="003C4D9A">
        <w:rPr>
          <w:rFonts w:ascii="Times New Roman" w:eastAsia="Times New Roman" w:hAnsi="Times New Roman" w:cs="Times New Roman"/>
          <w:color w:val="auto"/>
          <w:sz w:val="24"/>
          <w:szCs w:val="24"/>
          <w:lang w:val="uk-UA"/>
        </w:rPr>
        <w:t>, замість діяльності забою тварин та/або птиці</w:t>
      </w:r>
      <w:r w:rsidRPr="003C4D9A">
        <w:rPr>
          <w:rFonts w:ascii="Times New Roman" w:eastAsia="Times New Roman" w:hAnsi="Times New Roman" w:cs="Times New Roman"/>
          <w:color w:val="auto"/>
          <w:sz w:val="24"/>
          <w:szCs w:val="24"/>
          <w:lang w:val="uk-UA"/>
        </w:rPr>
        <w:t xml:space="preserve">. </w:t>
      </w:r>
    </w:p>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ІІ. Цілі державного регулювання</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Ціль державного регулювання:</w:t>
      </w:r>
    </w:p>
    <w:p w:rsidR="008E7D2F" w:rsidRPr="003C4D9A" w:rsidRDefault="00DA5B62" w:rsidP="00776251">
      <w:pPr>
        <w:numPr>
          <w:ilvl w:val="0"/>
          <w:numId w:val="3"/>
        </w:numPr>
        <w:spacing w:line="240" w:lineRule="auto"/>
        <w:ind w:hanging="360"/>
        <w:rPr>
          <w:b/>
          <w:color w:val="auto"/>
          <w:sz w:val="24"/>
          <w:szCs w:val="24"/>
          <w:lang w:val="uk-UA"/>
        </w:rPr>
      </w:pPr>
      <w:r w:rsidRPr="003C4D9A">
        <w:rPr>
          <w:rFonts w:ascii="Times New Roman" w:eastAsia="Times New Roman" w:hAnsi="Times New Roman" w:cs="Times New Roman"/>
          <w:color w:val="auto"/>
          <w:sz w:val="24"/>
          <w:szCs w:val="24"/>
          <w:lang w:val="uk-UA"/>
        </w:rPr>
        <w:t>1)</w:t>
      </w:r>
      <w:r w:rsidR="00D62AB7" w:rsidRPr="003C4D9A">
        <w:rPr>
          <w:rFonts w:ascii="Times New Roman" w:eastAsia="Times New Roman" w:hAnsi="Times New Roman" w:cs="Times New Roman"/>
          <w:color w:val="auto"/>
          <w:sz w:val="24"/>
          <w:szCs w:val="24"/>
          <w:lang w:val="uk-UA"/>
        </w:rPr>
        <w:t>Зменшення адміністративного тиску та спрощення введення в експлуатацію за (будівельними нормами) м’ясокомбінатів та м’ясопереробних підприємств, які фактично не є об’єктами підвищеної екологічної небезпеки.</w:t>
      </w:r>
      <w:r w:rsidR="00AC526B"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color w:val="auto"/>
          <w:sz w:val="24"/>
          <w:szCs w:val="24"/>
          <w:lang w:val="uk-UA"/>
        </w:rPr>
        <w:br/>
      </w:r>
      <w:r w:rsidRPr="003C4D9A">
        <w:rPr>
          <w:rFonts w:ascii="Times New Roman" w:eastAsia="Times New Roman" w:hAnsi="Times New Roman" w:cs="Times New Roman"/>
          <w:color w:val="auto"/>
          <w:sz w:val="24"/>
          <w:szCs w:val="24"/>
          <w:lang w:val="uk-UA"/>
        </w:rPr>
        <w:lastRenderedPageBreak/>
        <w:t>2) Запровадження необхідного регулювання в сфері екологічної безпеки</w:t>
      </w:r>
      <w:r w:rsidR="00AC526B" w:rsidRPr="003C4D9A">
        <w:rPr>
          <w:rFonts w:ascii="Times New Roman" w:eastAsia="Times New Roman" w:hAnsi="Times New Roman" w:cs="Times New Roman"/>
          <w:color w:val="auto"/>
          <w:sz w:val="24"/>
          <w:szCs w:val="24"/>
          <w:lang w:val="uk-UA"/>
        </w:rPr>
        <w:t xml:space="preserve"> за діяльністю забою тварин та/або птиці та поводження із побічними продуктами тваринного походження</w:t>
      </w:r>
      <w:r w:rsidRPr="003C4D9A">
        <w:rPr>
          <w:rFonts w:ascii="Times New Roman" w:eastAsia="Times New Roman" w:hAnsi="Times New Roman" w:cs="Times New Roman"/>
          <w:color w:val="auto"/>
          <w:sz w:val="24"/>
          <w:szCs w:val="24"/>
          <w:lang w:val="uk-UA"/>
        </w:rPr>
        <w:t>, не придатний для споживання людиною</w:t>
      </w:r>
      <w:r w:rsidR="00AC526B" w:rsidRPr="003C4D9A">
        <w:rPr>
          <w:rFonts w:ascii="Times New Roman" w:eastAsia="Times New Roman" w:hAnsi="Times New Roman" w:cs="Times New Roman"/>
          <w:color w:val="auto"/>
          <w:sz w:val="24"/>
          <w:szCs w:val="24"/>
          <w:lang w:val="uk-UA"/>
        </w:rPr>
        <w:t xml:space="preserve">. </w:t>
      </w:r>
      <w:r w:rsidR="00D62AB7" w:rsidRPr="003C4D9A">
        <w:rPr>
          <w:rFonts w:ascii="Times New Roman" w:eastAsia="Times New Roman" w:hAnsi="Times New Roman" w:cs="Times New Roman"/>
          <w:color w:val="auto"/>
          <w:sz w:val="24"/>
          <w:szCs w:val="24"/>
          <w:lang w:val="uk-UA"/>
        </w:rPr>
        <w:t xml:space="preserve"> </w:t>
      </w:r>
    </w:p>
    <w:p w:rsidR="008E7D2F" w:rsidRPr="003C4D9A" w:rsidRDefault="008E7D2F" w:rsidP="00776251">
      <w:pPr>
        <w:spacing w:line="240" w:lineRule="auto"/>
        <w:ind w:left="720"/>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III. Визначення та оцінка альтернативних способів досягнення цілей</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1. Визначення альтернативних способів</w:t>
      </w:r>
    </w:p>
    <w:tbl>
      <w:tblPr>
        <w:tblStyle w:val="20"/>
        <w:tblW w:w="96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19"/>
      </w:tblGrid>
      <w:tr w:rsidR="003C4D9A" w:rsidRPr="003C4D9A" w:rsidTr="00630920">
        <w:trPr>
          <w:cantSplit/>
        </w:trPr>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Вид альтернативи</w:t>
            </w:r>
          </w:p>
        </w:tc>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Опис альтернативи</w:t>
            </w:r>
          </w:p>
        </w:tc>
      </w:tr>
      <w:tr w:rsidR="003C4D9A" w:rsidRPr="003C4D9A" w:rsidTr="00630920">
        <w:trPr>
          <w:cantSplit/>
        </w:trPr>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Альтернатива 1 </w:t>
            </w:r>
          </w:p>
        </w:tc>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Залишити Постанову без змін (</w:t>
            </w:r>
            <w:proofErr w:type="spellStart"/>
            <w:r w:rsidRPr="003C4D9A">
              <w:rPr>
                <w:rFonts w:ascii="Times New Roman" w:eastAsia="Times New Roman" w:hAnsi="Times New Roman" w:cs="Times New Roman"/>
                <w:color w:val="auto"/>
                <w:sz w:val="24"/>
                <w:szCs w:val="24"/>
                <w:lang w:val="uk-UA"/>
              </w:rPr>
              <w:t>status</w:t>
            </w:r>
            <w:proofErr w:type="spellEnd"/>
            <w:r w:rsidRPr="003C4D9A">
              <w:rPr>
                <w:rFonts w:ascii="Times New Roman" w:eastAsia="Times New Roman" w:hAnsi="Times New Roman" w:cs="Times New Roman"/>
                <w:color w:val="auto"/>
                <w:sz w:val="24"/>
                <w:szCs w:val="24"/>
                <w:lang w:val="uk-UA"/>
              </w:rPr>
              <w:t xml:space="preserve"> </w:t>
            </w:r>
            <w:proofErr w:type="spellStart"/>
            <w:r w:rsidRPr="003C4D9A">
              <w:rPr>
                <w:rFonts w:ascii="Times New Roman" w:eastAsia="Times New Roman" w:hAnsi="Times New Roman" w:cs="Times New Roman"/>
                <w:color w:val="auto"/>
                <w:sz w:val="24"/>
                <w:szCs w:val="24"/>
                <w:lang w:val="uk-UA"/>
              </w:rPr>
              <w:t>quo</w:t>
            </w:r>
            <w:proofErr w:type="spellEnd"/>
            <w:r w:rsidRPr="003C4D9A">
              <w:rPr>
                <w:rFonts w:ascii="Times New Roman" w:eastAsia="Times New Roman" w:hAnsi="Times New Roman" w:cs="Times New Roman"/>
                <w:color w:val="auto"/>
                <w:sz w:val="24"/>
                <w:szCs w:val="24"/>
                <w:lang w:val="uk-UA"/>
              </w:rPr>
              <w:t>).</w:t>
            </w:r>
          </w:p>
        </w:tc>
      </w:tr>
      <w:tr w:rsidR="003C4D9A" w:rsidRPr="003C4D9A" w:rsidTr="00630920">
        <w:trPr>
          <w:cantSplit/>
        </w:trPr>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Виключити абзац 2 п. 23 із тексту Постанови. Таким чином, всі м’ясокомбінати та м’ясопереробні підприємства будуть виведені з під вимоги проходження екологічної експертизи. </w:t>
            </w:r>
          </w:p>
        </w:tc>
      </w:tr>
      <w:tr w:rsidR="003C4D9A" w:rsidRPr="003C4D9A" w:rsidTr="00630920">
        <w:trPr>
          <w:cantSplit/>
        </w:trPr>
        <w:tc>
          <w:tcPr>
            <w:tcW w:w="4819"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4819" w:type="dxa"/>
            <w:tcMar>
              <w:top w:w="55" w:type="dxa"/>
              <w:left w:w="55" w:type="dxa"/>
              <w:bottom w:w="55" w:type="dxa"/>
              <w:right w:w="55" w:type="dxa"/>
            </w:tcMar>
          </w:tcPr>
          <w:p w:rsidR="008E7D2F" w:rsidRPr="003C4D9A" w:rsidRDefault="00DA5B62"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При</w:t>
            </w:r>
            <w:r w:rsidR="004C4060" w:rsidRPr="003C4D9A">
              <w:rPr>
                <w:rFonts w:ascii="Times New Roman" w:eastAsia="Times New Roman" w:hAnsi="Times New Roman" w:cs="Times New Roman"/>
                <w:color w:val="auto"/>
                <w:sz w:val="24"/>
                <w:szCs w:val="24"/>
                <w:lang w:val="uk-UA"/>
              </w:rPr>
              <w:t>йняти пропонований проект акту</w:t>
            </w:r>
          </w:p>
        </w:tc>
      </w:tr>
    </w:tbl>
    <w:p w:rsidR="008E7D2F" w:rsidRPr="003C4D9A" w:rsidRDefault="008E7D2F" w:rsidP="00776251">
      <w:pPr>
        <w:spacing w:after="160" w:line="240" w:lineRule="auto"/>
        <w:rPr>
          <w:color w:val="auto"/>
          <w:lang w:val="uk-UA"/>
        </w:rPr>
      </w:pP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2. Оцінка вибраних альтернативних способів досягнення цілей</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Оцінка впливу на сферу інтересів держави</w:t>
      </w:r>
    </w:p>
    <w:tbl>
      <w:tblPr>
        <w:tblStyle w:val="19"/>
        <w:tblW w:w="9638" w:type="dxa"/>
        <w:tblInd w:w="-110" w:type="dxa"/>
        <w:tblLayout w:type="fixed"/>
        <w:tblLook w:val="0400" w:firstRow="0" w:lastRow="0" w:firstColumn="0" w:lastColumn="0" w:noHBand="0" w:noVBand="1"/>
      </w:tblPr>
      <w:tblGrid>
        <w:gridCol w:w="3212"/>
        <w:gridCol w:w="3213"/>
        <w:gridCol w:w="3213"/>
      </w:tblGrid>
      <w:tr w:rsidR="003C4D9A" w:rsidRPr="003C4D9A" w:rsidTr="002E028C">
        <w:trPr>
          <w:cantSplit/>
        </w:trPr>
        <w:tc>
          <w:tcPr>
            <w:tcW w:w="3212"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Вид альтернативи</w:t>
            </w:r>
          </w:p>
        </w:tc>
        <w:tc>
          <w:tcPr>
            <w:tcW w:w="3213"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Вигоди</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Витрати</w:t>
            </w:r>
          </w:p>
        </w:tc>
      </w:tr>
      <w:tr w:rsidR="003C4D9A" w:rsidRPr="003C4D9A" w:rsidTr="002E028C">
        <w:trPr>
          <w:cantSplit/>
        </w:trPr>
        <w:tc>
          <w:tcPr>
            <w:tcW w:w="3212"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1</w:t>
            </w:r>
          </w:p>
        </w:tc>
        <w:tc>
          <w:tcPr>
            <w:tcW w:w="3213" w:type="dxa"/>
            <w:tcBorders>
              <w:left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c>
          <w:tcPr>
            <w:tcW w:w="3213" w:type="dxa"/>
            <w:tcBorders>
              <w:left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r>
      <w:tr w:rsidR="003C4D9A" w:rsidRPr="003C4D9A" w:rsidTr="002E028C">
        <w:trPr>
          <w:cantSplit/>
        </w:trPr>
        <w:tc>
          <w:tcPr>
            <w:tcW w:w="3212"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3213"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Дана Альтернатива передбачає повне виключення м’ясокомбінатів та м’ясопереробних підприємств з переліку об’єктів, що потребують екологічної експертизи. </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 Зменшення потреби у здійсненні адміністрування процесу екологічної експертизи.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Часткове покращення бізнес-клімату в частині дерегуляції.  </w:t>
            </w:r>
          </w:p>
        </w:tc>
        <w:tc>
          <w:tcPr>
            <w:tcW w:w="3213" w:type="dxa"/>
            <w:tcBorders>
              <w:left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Утворення регуляторної прогалини для підприємств, що можуть нести екологічну небезпеку. При умові, що на потужностях таких підприємств функціонують бійні, виникає ризик через можливе погіршення екологічної ситуації при безконтрольному утворенні та поводженні із боєнськими відходами . </w:t>
            </w:r>
          </w:p>
        </w:tc>
      </w:tr>
      <w:tr w:rsidR="003C4D9A" w:rsidRPr="003C4D9A" w:rsidTr="002E028C">
        <w:trPr>
          <w:cantSplit/>
        </w:trPr>
        <w:tc>
          <w:tcPr>
            <w:tcW w:w="32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Альтернатива 3</w:t>
            </w:r>
          </w:p>
        </w:tc>
        <w:tc>
          <w:tcPr>
            <w:tcW w:w="3213"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Дана Альтернатива передбачає виключення м’ясокомбінатів та м’ясопереробних підприємств з переліку Постанови</w:t>
            </w:r>
            <w:r w:rsidR="00BE466E" w:rsidRPr="003C4D9A">
              <w:rPr>
                <w:rFonts w:ascii="Times New Roman" w:eastAsia="Times New Roman" w:hAnsi="Times New Roman" w:cs="Times New Roman"/>
                <w:color w:val="auto"/>
                <w:sz w:val="24"/>
                <w:szCs w:val="24"/>
                <w:lang w:val="uk-UA"/>
              </w:rPr>
              <w:t>.</w:t>
            </w:r>
            <w:r w:rsidRPr="003C4D9A">
              <w:rPr>
                <w:rFonts w:ascii="Times New Roman" w:eastAsia="Times New Roman" w:hAnsi="Times New Roman" w:cs="Times New Roman"/>
                <w:color w:val="auto"/>
                <w:sz w:val="24"/>
                <w:szCs w:val="24"/>
                <w:lang w:val="uk-UA"/>
              </w:rPr>
              <w:t xml:space="preserve"> Такий підхід </w:t>
            </w:r>
            <w:r w:rsidR="00BE466E" w:rsidRPr="003C4D9A">
              <w:rPr>
                <w:rFonts w:ascii="Times New Roman" w:eastAsia="Times New Roman" w:hAnsi="Times New Roman" w:cs="Times New Roman"/>
                <w:color w:val="auto"/>
                <w:sz w:val="24"/>
                <w:szCs w:val="24"/>
                <w:lang w:val="uk-UA"/>
              </w:rPr>
              <w:t xml:space="preserve">часткового </w:t>
            </w:r>
            <w:r w:rsidRPr="003C4D9A">
              <w:rPr>
                <w:rFonts w:ascii="Times New Roman" w:eastAsia="Times New Roman" w:hAnsi="Times New Roman" w:cs="Times New Roman"/>
                <w:color w:val="auto"/>
                <w:sz w:val="24"/>
                <w:szCs w:val="24"/>
                <w:lang w:val="uk-UA"/>
              </w:rPr>
              <w:t>зберігає вигоди Альтернативи 2 при відсутності її ризиків.</w:t>
            </w:r>
            <w:r w:rsidR="00701C07" w:rsidRPr="003C4D9A">
              <w:rPr>
                <w:rFonts w:ascii="Times New Roman" w:eastAsia="Times New Roman" w:hAnsi="Times New Roman" w:cs="Times New Roman"/>
                <w:color w:val="auto"/>
                <w:sz w:val="24"/>
                <w:szCs w:val="24"/>
                <w:lang w:val="en-US"/>
              </w:rPr>
              <w:t xml:space="preserve"> </w:t>
            </w:r>
            <w:r w:rsidR="00701C07" w:rsidRPr="003C4D9A">
              <w:rPr>
                <w:rFonts w:ascii="Times New Roman" w:eastAsia="Times New Roman" w:hAnsi="Times New Roman" w:cs="Times New Roman"/>
                <w:color w:val="auto"/>
                <w:sz w:val="24"/>
                <w:szCs w:val="24"/>
                <w:lang w:val="uk-UA"/>
              </w:rPr>
              <w:t xml:space="preserve">Додатково, увівши діяльність із забою тварин та/або птиці, держава більш уточнить правозастосування державної екологічної експертизи та </w:t>
            </w:r>
            <w:r w:rsidR="00BE466E" w:rsidRPr="003C4D9A">
              <w:rPr>
                <w:rFonts w:ascii="Times New Roman" w:eastAsia="Times New Roman" w:hAnsi="Times New Roman" w:cs="Times New Roman"/>
                <w:color w:val="auto"/>
                <w:sz w:val="24"/>
                <w:szCs w:val="24"/>
                <w:lang w:val="uk-UA"/>
              </w:rPr>
              <w:t>запровадить необхідне регулювання для підвищення рівня екологічної безпеки</w:t>
            </w:r>
            <w:r w:rsidR="00701C07" w:rsidRPr="003C4D9A">
              <w:rPr>
                <w:rFonts w:ascii="Times New Roman" w:eastAsia="Times New Roman" w:hAnsi="Times New Roman" w:cs="Times New Roman"/>
                <w:color w:val="auto"/>
                <w:sz w:val="24"/>
                <w:szCs w:val="24"/>
                <w:lang w:val="uk-UA"/>
              </w:rPr>
              <w:t xml:space="preserve">. </w:t>
            </w:r>
          </w:p>
        </w:tc>
        <w:tc>
          <w:tcPr>
            <w:tcW w:w="3213"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r>
    </w:tbl>
    <w:p w:rsidR="008E7D2F" w:rsidRPr="003C4D9A" w:rsidRDefault="008E7D2F" w:rsidP="00776251">
      <w:pPr>
        <w:spacing w:after="160" w:line="240" w:lineRule="auto"/>
        <w:rPr>
          <w:color w:val="auto"/>
          <w:lang w:val="uk-UA"/>
        </w:rPr>
      </w:pP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Оцінка впливу на сферу інтересів громадян</w:t>
      </w:r>
    </w:p>
    <w:tbl>
      <w:tblPr>
        <w:tblStyle w:val="18"/>
        <w:tblW w:w="9638" w:type="dxa"/>
        <w:tblInd w:w="-110" w:type="dxa"/>
        <w:tblLayout w:type="fixed"/>
        <w:tblLook w:val="0400" w:firstRow="0" w:lastRow="0" w:firstColumn="0" w:lastColumn="0" w:noHBand="0" w:noVBand="1"/>
      </w:tblPr>
      <w:tblGrid>
        <w:gridCol w:w="3212"/>
        <w:gridCol w:w="3213"/>
        <w:gridCol w:w="3213"/>
      </w:tblGrid>
      <w:tr w:rsidR="003C4D9A" w:rsidRPr="003C4D9A">
        <w:tc>
          <w:tcPr>
            <w:tcW w:w="3212"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Вид альтернативи</w:t>
            </w:r>
          </w:p>
        </w:tc>
        <w:tc>
          <w:tcPr>
            <w:tcW w:w="3213"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Вигоди</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Витрати</w:t>
            </w:r>
          </w:p>
        </w:tc>
      </w:tr>
      <w:tr w:rsidR="003C4D9A" w:rsidRPr="003C4D9A">
        <w:tc>
          <w:tcPr>
            <w:tcW w:w="3212"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1</w:t>
            </w:r>
          </w:p>
        </w:tc>
        <w:tc>
          <w:tcPr>
            <w:tcW w:w="3213"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c>
          <w:tcPr>
            <w:tcW w:w="3213" w:type="dxa"/>
            <w:tcBorders>
              <w:left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bookmarkStart w:id="0" w:name="_GoBack"/>
            <w:bookmarkEnd w:id="0"/>
          </w:p>
        </w:tc>
      </w:tr>
      <w:tr w:rsidR="003C4D9A" w:rsidRPr="003C4D9A">
        <w:tc>
          <w:tcPr>
            <w:tcW w:w="3212"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3213" w:type="dxa"/>
            <w:tcBorders>
              <w:lef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c>
          <w:tcPr>
            <w:tcW w:w="3213" w:type="dxa"/>
            <w:tcBorders>
              <w:left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Ризики погіршення екологічної ситуації, через наявність прогалини в регулюванні</w:t>
            </w:r>
          </w:p>
        </w:tc>
      </w:tr>
      <w:tr w:rsidR="003C4D9A" w:rsidRPr="003C4D9A">
        <w:tc>
          <w:tcPr>
            <w:tcW w:w="32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3213"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Зменшення ризиків погіршення екологічної ситуації</w:t>
            </w:r>
          </w:p>
        </w:tc>
        <w:tc>
          <w:tcPr>
            <w:tcW w:w="3213"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r>
    </w:tbl>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 </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Оцінка впливу на сферу інтересів суб’єктів господарювання</w:t>
      </w:r>
    </w:p>
    <w:tbl>
      <w:tblPr>
        <w:tblStyle w:val="17"/>
        <w:tblW w:w="9638" w:type="dxa"/>
        <w:tblInd w:w="-110" w:type="dxa"/>
        <w:tblLayout w:type="fixed"/>
        <w:tblLook w:val="0400" w:firstRow="0" w:lastRow="0" w:firstColumn="0" w:lastColumn="0" w:noHBand="0" w:noVBand="1"/>
      </w:tblPr>
      <w:tblGrid>
        <w:gridCol w:w="3250"/>
        <w:gridCol w:w="1275"/>
        <w:gridCol w:w="1275"/>
        <w:gridCol w:w="1275"/>
        <w:gridCol w:w="1300"/>
        <w:gridCol w:w="1263"/>
      </w:tblGrid>
      <w:tr w:rsidR="003C4D9A" w:rsidRPr="003C4D9A">
        <w:tc>
          <w:tcPr>
            <w:tcW w:w="3250"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Показник</w:t>
            </w:r>
          </w:p>
        </w:tc>
        <w:tc>
          <w:tcPr>
            <w:tcW w:w="1275"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Великі</w:t>
            </w:r>
          </w:p>
        </w:tc>
        <w:tc>
          <w:tcPr>
            <w:tcW w:w="1275"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Середні</w:t>
            </w:r>
          </w:p>
        </w:tc>
        <w:tc>
          <w:tcPr>
            <w:tcW w:w="1275"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Малі</w:t>
            </w:r>
          </w:p>
        </w:tc>
        <w:tc>
          <w:tcPr>
            <w:tcW w:w="1300"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Мікро</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Разом</w:t>
            </w:r>
          </w:p>
        </w:tc>
      </w:tr>
      <w:tr w:rsidR="003C4D9A" w:rsidRPr="003C4D9A">
        <w:tc>
          <w:tcPr>
            <w:tcW w:w="3250"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Кількість суб’єктів господарювання, що підпадають під дію регулювання, одиниць</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22</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44</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107</w:t>
            </w:r>
          </w:p>
        </w:tc>
        <w:tc>
          <w:tcPr>
            <w:tcW w:w="1300"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975A7B"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569</w:t>
            </w:r>
          </w:p>
        </w:tc>
        <w:tc>
          <w:tcPr>
            <w:tcW w:w="126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E7D2F" w:rsidRPr="003C4D9A" w:rsidRDefault="00975A7B"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742</w:t>
            </w:r>
          </w:p>
        </w:tc>
      </w:tr>
      <w:tr w:rsidR="003C4D9A" w:rsidRPr="003C4D9A">
        <w:tc>
          <w:tcPr>
            <w:tcW w:w="3250"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Питома вага групи у загальній кількості, відсотків</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3.54</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7.09</w:t>
            </w:r>
          </w:p>
        </w:tc>
        <w:tc>
          <w:tcPr>
            <w:tcW w:w="1275"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17.23</w:t>
            </w:r>
          </w:p>
        </w:tc>
        <w:tc>
          <w:tcPr>
            <w:tcW w:w="1300" w:type="dxa"/>
            <w:tcBorders>
              <w:left w:val="single" w:sz="4" w:space="0" w:color="000000"/>
              <w:bottom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72.14</w:t>
            </w:r>
          </w:p>
        </w:tc>
        <w:tc>
          <w:tcPr>
            <w:tcW w:w="126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r>
    </w:tbl>
    <w:p w:rsidR="008E7D2F" w:rsidRPr="003C4D9A" w:rsidRDefault="008E7D2F" w:rsidP="00776251">
      <w:pPr>
        <w:spacing w:after="160" w:line="240" w:lineRule="auto"/>
        <w:rPr>
          <w:color w:val="auto"/>
          <w:lang w:val="uk-UA"/>
        </w:rPr>
      </w:pPr>
    </w:p>
    <w:tbl>
      <w:tblPr>
        <w:tblStyle w:val="16"/>
        <w:tblW w:w="96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2"/>
        <w:gridCol w:w="3213"/>
        <w:gridCol w:w="3213"/>
      </w:tblGrid>
      <w:tr w:rsidR="003C4D9A" w:rsidRPr="003C4D9A" w:rsidTr="002E028C">
        <w:trPr>
          <w:cantSplit/>
        </w:trPr>
        <w:tc>
          <w:tcPr>
            <w:tcW w:w="3212"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Вид альтернативи</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Вигоди</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Витрати</w:t>
            </w:r>
          </w:p>
        </w:tc>
      </w:tr>
      <w:tr w:rsidR="003C4D9A" w:rsidRPr="003C4D9A" w:rsidTr="002E028C">
        <w:trPr>
          <w:cantSplit/>
        </w:trPr>
        <w:tc>
          <w:tcPr>
            <w:tcW w:w="3212"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1</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Відсутні </w:t>
            </w:r>
          </w:p>
        </w:tc>
        <w:tc>
          <w:tcPr>
            <w:tcW w:w="3213" w:type="dxa"/>
            <w:tcMar>
              <w:top w:w="55" w:type="dxa"/>
              <w:left w:w="55" w:type="dxa"/>
              <w:bottom w:w="55" w:type="dxa"/>
              <w:right w:w="55" w:type="dxa"/>
            </w:tcMar>
          </w:tcPr>
          <w:p w:rsidR="008E7D2F" w:rsidRPr="003C4D9A" w:rsidRDefault="00D62AB7" w:rsidP="00776251">
            <w:pPr>
              <w:spacing w:line="240" w:lineRule="auto"/>
              <w:rPr>
                <w:color w:val="auto"/>
                <w:lang w:val="uk-UA"/>
              </w:rPr>
            </w:pPr>
            <w:bookmarkStart w:id="1" w:name="_7zmrnt4jbp1z" w:colFirst="0" w:colLast="0"/>
            <w:bookmarkEnd w:id="1"/>
            <w:r w:rsidRPr="003C4D9A">
              <w:rPr>
                <w:rFonts w:ascii="Times New Roman" w:eastAsia="Times New Roman" w:hAnsi="Times New Roman" w:cs="Times New Roman"/>
                <w:color w:val="auto"/>
                <w:sz w:val="24"/>
                <w:szCs w:val="24"/>
                <w:lang w:val="uk-UA"/>
              </w:rPr>
              <w:t xml:space="preserve">Залишивши діюче регулювання без змін, </w:t>
            </w:r>
            <w:r w:rsidR="00BE466E" w:rsidRPr="003C4D9A">
              <w:rPr>
                <w:rFonts w:ascii="Times New Roman" w:eastAsia="Times New Roman" w:hAnsi="Times New Roman" w:cs="Times New Roman"/>
                <w:color w:val="auto"/>
                <w:sz w:val="24"/>
                <w:szCs w:val="24"/>
                <w:lang w:val="uk-UA"/>
              </w:rPr>
              <w:t xml:space="preserve">витрати на виконання цього регулювання залишиться незмінним як для діючих, так і для новостворених </w:t>
            </w:r>
            <w:r w:rsidRPr="003C4D9A">
              <w:rPr>
                <w:rFonts w:ascii="Times New Roman" w:eastAsia="Times New Roman" w:hAnsi="Times New Roman" w:cs="Times New Roman"/>
                <w:color w:val="auto"/>
                <w:sz w:val="24"/>
                <w:szCs w:val="24"/>
                <w:lang w:val="uk-UA"/>
              </w:rPr>
              <w:t>суб’єкт</w:t>
            </w:r>
            <w:r w:rsidR="00BE466E" w:rsidRPr="003C4D9A">
              <w:rPr>
                <w:rFonts w:ascii="Times New Roman" w:eastAsia="Times New Roman" w:hAnsi="Times New Roman" w:cs="Times New Roman"/>
                <w:color w:val="auto"/>
                <w:sz w:val="24"/>
                <w:szCs w:val="24"/>
                <w:lang w:val="uk-UA"/>
              </w:rPr>
              <w:t>ів</w:t>
            </w:r>
            <w:r w:rsidRPr="003C4D9A">
              <w:rPr>
                <w:rFonts w:ascii="Times New Roman" w:eastAsia="Times New Roman" w:hAnsi="Times New Roman" w:cs="Times New Roman"/>
                <w:color w:val="auto"/>
                <w:sz w:val="24"/>
                <w:szCs w:val="24"/>
                <w:lang w:val="uk-UA"/>
              </w:rPr>
              <w:t xml:space="preserve"> господарювання</w:t>
            </w:r>
            <w:r w:rsidR="00BE466E" w:rsidRPr="003C4D9A">
              <w:rPr>
                <w:rFonts w:ascii="Times New Roman" w:eastAsia="Times New Roman" w:hAnsi="Times New Roman" w:cs="Times New Roman"/>
                <w:color w:val="auto"/>
                <w:sz w:val="24"/>
                <w:szCs w:val="24"/>
                <w:lang w:val="uk-UA"/>
              </w:rPr>
              <w:t>.</w:t>
            </w:r>
            <w:r w:rsidRPr="003C4D9A">
              <w:rPr>
                <w:rFonts w:ascii="Times New Roman" w:eastAsia="Times New Roman" w:hAnsi="Times New Roman" w:cs="Times New Roman"/>
                <w:color w:val="auto"/>
                <w:sz w:val="24"/>
                <w:szCs w:val="24"/>
                <w:lang w:val="uk-UA"/>
              </w:rPr>
              <w:t xml:space="preserve"> </w:t>
            </w:r>
          </w:p>
        </w:tc>
      </w:tr>
      <w:tr w:rsidR="003C4D9A" w:rsidRPr="003C4D9A" w:rsidTr="002E028C">
        <w:trPr>
          <w:cantSplit/>
        </w:trPr>
        <w:tc>
          <w:tcPr>
            <w:tcW w:w="3212"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Альтернатива 2</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У разі прийнятті цієї Альтернативи, м’ясокомбінати та м’ясопереробні підприємства </w:t>
            </w:r>
            <w:r w:rsidR="002E028C" w:rsidRPr="003C4D9A">
              <w:rPr>
                <w:rFonts w:ascii="Times New Roman" w:eastAsia="Times New Roman" w:hAnsi="Times New Roman" w:cs="Times New Roman"/>
                <w:color w:val="auto"/>
                <w:sz w:val="24"/>
                <w:szCs w:val="24"/>
                <w:lang w:val="uk-UA"/>
              </w:rPr>
              <w:t xml:space="preserve">зможуть зекономити приблизно 32 913 </w:t>
            </w:r>
            <w:r w:rsidRPr="003C4D9A">
              <w:rPr>
                <w:rFonts w:ascii="Times New Roman" w:eastAsia="Times New Roman" w:hAnsi="Times New Roman" w:cs="Times New Roman"/>
                <w:color w:val="auto"/>
                <w:sz w:val="24"/>
                <w:szCs w:val="24"/>
                <w:lang w:val="uk-UA"/>
              </w:rPr>
              <w:t>000 гривень. (53</w:t>
            </w:r>
            <w:r w:rsidR="0079265A"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color w:val="auto"/>
                <w:sz w:val="24"/>
                <w:szCs w:val="24"/>
                <w:lang w:val="uk-UA"/>
              </w:rPr>
              <w:t xml:space="preserve">000 середня вартість витрат на проведення </w:t>
            </w:r>
            <w:r w:rsidR="00EA4561" w:rsidRPr="003C4D9A">
              <w:rPr>
                <w:rFonts w:ascii="Times New Roman" w:eastAsia="Times New Roman" w:hAnsi="Times New Roman" w:cs="Times New Roman"/>
                <w:color w:val="auto"/>
                <w:sz w:val="24"/>
                <w:szCs w:val="24"/>
                <w:lang w:val="uk-UA"/>
              </w:rPr>
              <w:t xml:space="preserve">державної </w:t>
            </w:r>
            <w:r w:rsidRPr="003C4D9A">
              <w:rPr>
                <w:rFonts w:ascii="Times New Roman" w:eastAsia="Times New Roman" w:hAnsi="Times New Roman" w:cs="Times New Roman"/>
                <w:color w:val="auto"/>
                <w:sz w:val="24"/>
                <w:szCs w:val="24"/>
                <w:lang w:val="uk-UA"/>
              </w:rPr>
              <w:t>екологічної експертизи</w:t>
            </w:r>
            <w:r w:rsidR="00EA4561" w:rsidRPr="003C4D9A">
              <w:rPr>
                <w:rFonts w:ascii="Times New Roman" w:eastAsia="Times New Roman" w:hAnsi="Times New Roman" w:cs="Times New Roman"/>
                <w:color w:val="auto"/>
                <w:sz w:val="24"/>
                <w:szCs w:val="24"/>
                <w:lang w:val="uk-UA"/>
              </w:rPr>
              <w:t>, як частини декларації безпеки об’єкту підвищеної небезпеки</w:t>
            </w:r>
            <w:r w:rsidRPr="003C4D9A">
              <w:rPr>
                <w:rFonts w:ascii="Times New Roman" w:eastAsia="Times New Roman" w:hAnsi="Times New Roman" w:cs="Times New Roman"/>
                <w:color w:val="auto"/>
                <w:sz w:val="24"/>
                <w:szCs w:val="24"/>
                <w:lang w:val="uk-UA"/>
              </w:rPr>
              <w:t xml:space="preserve"> </w:t>
            </w:r>
            <w:r w:rsidR="0079265A" w:rsidRPr="003C4D9A">
              <w:rPr>
                <w:rFonts w:ascii="Times New Roman" w:eastAsia="Times New Roman" w:hAnsi="Times New Roman" w:cs="Times New Roman"/>
                <w:color w:val="auto"/>
                <w:sz w:val="24"/>
                <w:szCs w:val="24"/>
                <w:lang w:val="uk-UA"/>
              </w:rPr>
              <w:t>й</w:t>
            </w:r>
            <w:r w:rsidR="00EA4561"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color w:val="auto"/>
                <w:sz w:val="24"/>
                <w:szCs w:val="24"/>
                <w:lang w:val="uk-UA"/>
              </w:rPr>
              <w:t>та</w:t>
            </w:r>
            <w:r w:rsidR="0079265A"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color w:val="auto"/>
                <w:sz w:val="24"/>
                <w:szCs w:val="24"/>
                <w:lang w:val="uk-UA"/>
              </w:rPr>
              <w:t>дотри</w:t>
            </w:r>
            <w:r w:rsidR="0079265A" w:rsidRPr="003C4D9A">
              <w:rPr>
                <w:rFonts w:ascii="Times New Roman" w:eastAsia="Times New Roman" w:hAnsi="Times New Roman" w:cs="Times New Roman"/>
                <w:color w:val="auto"/>
                <w:sz w:val="24"/>
                <w:szCs w:val="24"/>
                <w:lang w:val="uk-UA"/>
              </w:rPr>
              <w:t>мання вимог чинного регулювання в сфері будування)</w:t>
            </w:r>
            <w:r w:rsidRPr="003C4D9A">
              <w:rPr>
                <w:rFonts w:ascii="Times New Roman" w:eastAsia="Times New Roman" w:hAnsi="Times New Roman" w:cs="Times New Roman"/>
                <w:color w:val="auto"/>
                <w:sz w:val="24"/>
                <w:szCs w:val="24"/>
                <w:lang w:val="uk-UA"/>
              </w:rPr>
              <w:t xml:space="preserve"> </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Альтернатива 2 через відсутність потреби виконання екологічних вимог створює  ризик того, відходи з таких підприємств можуть потрапити до навколишнього середовища. </w:t>
            </w:r>
          </w:p>
          <w:p w:rsidR="008E7D2F" w:rsidRPr="003C4D9A" w:rsidRDefault="00EA4561"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Це</w:t>
            </w:r>
            <w:r w:rsidR="00D62AB7" w:rsidRPr="003C4D9A">
              <w:rPr>
                <w:rFonts w:ascii="Times New Roman" w:eastAsia="Times New Roman" w:hAnsi="Times New Roman" w:cs="Times New Roman"/>
                <w:color w:val="auto"/>
                <w:sz w:val="24"/>
                <w:szCs w:val="24"/>
                <w:lang w:val="uk-UA"/>
              </w:rPr>
              <w:t xml:space="preserve"> стане причиною накладання значних штрафних санкцій та суттєво перешкоджатиме діяльності підприємства (перевірки, </w:t>
            </w:r>
            <w:r w:rsidR="002E028C" w:rsidRPr="003C4D9A">
              <w:rPr>
                <w:rFonts w:ascii="Times New Roman" w:eastAsia="Times New Roman" w:hAnsi="Times New Roman" w:cs="Times New Roman"/>
                <w:color w:val="auto"/>
                <w:sz w:val="24"/>
                <w:szCs w:val="24"/>
                <w:lang w:val="uk-UA"/>
              </w:rPr>
              <w:t>блокування діяльності підприємств</w:t>
            </w:r>
            <w:r w:rsidR="00D62AB7" w:rsidRPr="003C4D9A">
              <w:rPr>
                <w:rFonts w:ascii="Times New Roman" w:eastAsia="Times New Roman" w:hAnsi="Times New Roman" w:cs="Times New Roman"/>
                <w:color w:val="auto"/>
                <w:sz w:val="24"/>
                <w:szCs w:val="24"/>
                <w:lang w:val="uk-UA"/>
              </w:rPr>
              <w:t>, конфлікти з місцевими органами влади та жителями).</w:t>
            </w:r>
          </w:p>
        </w:tc>
      </w:tr>
      <w:tr w:rsidR="003C4D9A" w:rsidRPr="003C4D9A" w:rsidTr="002E028C">
        <w:trPr>
          <w:cantSplit/>
        </w:trPr>
        <w:tc>
          <w:tcPr>
            <w:tcW w:w="3212"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Суб’єкти господарювання, діяльність яких не становить </w:t>
            </w:r>
            <w:r w:rsidR="002E028C" w:rsidRPr="003C4D9A">
              <w:rPr>
                <w:rFonts w:ascii="Times New Roman" w:eastAsia="Times New Roman" w:hAnsi="Times New Roman" w:cs="Times New Roman"/>
                <w:color w:val="auto"/>
                <w:sz w:val="24"/>
                <w:szCs w:val="24"/>
                <w:lang w:val="uk-UA"/>
              </w:rPr>
              <w:t>підвищеної</w:t>
            </w:r>
            <w:r w:rsidRPr="003C4D9A">
              <w:rPr>
                <w:rFonts w:ascii="Times New Roman" w:eastAsia="Times New Roman" w:hAnsi="Times New Roman" w:cs="Times New Roman"/>
                <w:color w:val="auto"/>
                <w:sz w:val="24"/>
                <w:szCs w:val="24"/>
                <w:lang w:val="uk-UA"/>
              </w:rPr>
              <w:t xml:space="preserve"> екологічної небезпеки, будуть звільнені від необхідності проходити екологічну експертизу</w:t>
            </w:r>
            <w:r w:rsidR="002E028C" w:rsidRPr="003C4D9A">
              <w:rPr>
                <w:rFonts w:ascii="Times New Roman" w:eastAsia="Times New Roman" w:hAnsi="Times New Roman" w:cs="Times New Roman"/>
                <w:color w:val="auto"/>
                <w:sz w:val="24"/>
                <w:szCs w:val="24"/>
                <w:lang w:val="uk-UA"/>
              </w:rPr>
              <w:t>, і замінені діяльністю із забою тварин та/або птиць</w:t>
            </w:r>
            <w:r w:rsidRPr="003C4D9A">
              <w:rPr>
                <w:rFonts w:ascii="Times New Roman" w:eastAsia="Times New Roman" w:hAnsi="Times New Roman" w:cs="Times New Roman"/>
                <w:color w:val="auto"/>
                <w:sz w:val="24"/>
                <w:szCs w:val="24"/>
                <w:lang w:val="uk-UA"/>
              </w:rPr>
              <w:t xml:space="preserve">. </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Отже, кожен з таких суб’єктів заощадить близько 53 000 гривень на кожну експертизу</w:t>
            </w:r>
            <w:r w:rsidR="0079265A" w:rsidRPr="003C4D9A">
              <w:rPr>
                <w:rFonts w:ascii="Times New Roman" w:eastAsia="Times New Roman" w:hAnsi="Times New Roman" w:cs="Times New Roman"/>
                <w:color w:val="auto"/>
                <w:sz w:val="24"/>
                <w:szCs w:val="24"/>
                <w:lang w:val="uk-UA"/>
              </w:rPr>
              <w:t xml:space="preserve"> та дотримання вимог чинного регулювання в сфері будування</w:t>
            </w:r>
            <w:r w:rsidRPr="003C4D9A">
              <w:rPr>
                <w:rFonts w:ascii="Times New Roman" w:eastAsia="Times New Roman" w:hAnsi="Times New Roman" w:cs="Times New Roman"/>
                <w:color w:val="auto"/>
                <w:sz w:val="24"/>
                <w:szCs w:val="24"/>
                <w:lang w:val="uk-UA"/>
              </w:rPr>
              <w:t xml:space="preserve">. </w:t>
            </w:r>
            <w:r w:rsidR="00EA4561" w:rsidRPr="003C4D9A">
              <w:rPr>
                <w:rFonts w:ascii="Times New Roman" w:eastAsia="Times New Roman" w:hAnsi="Times New Roman" w:cs="Times New Roman"/>
                <w:color w:val="auto"/>
                <w:sz w:val="24"/>
                <w:szCs w:val="24"/>
                <w:lang w:val="uk-UA"/>
              </w:rPr>
              <w:t>Шляхом запровадження такого регулювання, зміниться конкурентне середовище, саме тим, що стане вигідніше працювати легально і такі суб’єкти господарювання отримають юридично-обґрунтовану конкуренту перевагу на ринку перед операторами ринку, що здійснюють забій тварин та/або птиці на незаконних потужностях.</w:t>
            </w:r>
          </w:p>
        </w:tc>
        <w:tc>
          <w:tcPr>
            <w:tcW w:w="3213"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Прямих додаткових </w:t>
            </w:r>
            <w:r w:rsidR="003618B2" w:rsidRPr="003C4D9A">
              <w:rPr>
                <w:rFonts w:ascii="Times New Roman" w:eastAsia="Times New Roman" w:hAnsi="Times New Roman" w:cs="Times New Roman"/>
                <w:color w:val="auto"/>
                <w:sz w:val="24"/>
                <w:szCs w:val="24"/>
                <w:lang w:val="uk-UA"/>
              </w:rPr>
              <w:t xml:space="preserve">витрат для суб’єктів, які виводяться з під дії регулювання не передбачається </w:t>
            </w:r>
            <w:r w:rsidRPr="003C4D9A">
              <w:rPr>
                <w:rFonts w:ascii="Times New Roman" w:eastAsia="Times New Roman" w:hAnsi="Times New Roman" w:cs="Times New Roman"/>
                <w:color w:val="auto"/>
                <w:sz w:val="24"/>
                <w:szCs w:val="24"/>
                <w:lang w:val="uk-UA"/>
              </w:rPr>
              <w:t xml:space="preserve">внаслідок реалізації Альтернативи 3 не передбачається. </w:t>
            </w:r>
            <w:r w:rsidR="003618B2" w:rsidRPr="003C4D9A">
              <w:rPr>
                <w:rFonts w:ascii="Times New Roman" w:eastAsia="Times New Roman" w:hAnsi="Times New Roman" w:cs="Times New Roman"/>
                <w:color w:val="auto"/>
                <w:sz w:val="24"/>
                <w:szCs w:val="24"/>
                <w:lang w:val="uk-UA"/>
              </w:rPr>
              <w:t xml:space="preserve">Суб’єкти господарювання, які здійснюють забій тварин та/або птиці підпадуть під вимогу проходити державну екологічну експертизу з усіма необхідними витратами, як частину декларації безпеки, в розмірі 53 000 гривень. </w:t>
            </w:r>
          </w:p>
        </w:tc>
      </w:tr>
    </w:tbl>
    <w:p w:rsidR="008E7D2F" w:rsidRPr="003C4D9A" w:rsidRDefault="008E7D2F" w:rsidP="00776251">
      <w:pPr>
        <w:spacing w:after="160" w:line="240" w:lineRule="auto"/>
        <w:rPr>
          <w:color w:val="auto"/>
          <w:lang w:val="uk-UA"/>
        </w:rPr>
      </w:pPr>
    </w:p>
    <w:p w:rsidR="008E7D2F" w:rsidRPr="003C4D9A" w:rsidRDefault="00D62AB7" w:rsidP="00776251">
      <w:pPr>
        <w:spacing w:line="240" w:lineRule="auto"/>
        <w:rPr>
          <w:color w:val="auto"/>
          <w:lang w:val="uk-UA"/>
        </w:rPr>
      </w:pPr>
      <w:r w:rsidRPr="003C4D9A">
        <w:rPr>
          <w:color w:val="auto"/>
          <w:lang w:val="uk-UA"/>
        </w:rPr>
        <w:br w:type="page"/>
      </w:r>
    </w:p>
    <w:p w:rsidR="008E7D2F" w:rsidRPr="003C4D9A" w:rsidRDefault="008E7D2F" w:rsidP="00776251">
      <w:pPr>
        <w:spacing w:line="240" w:lineRule="auto"/>
        <w:rPr>
          <w:color w:val="auto"/>
          <w:lang w:val="uk-UA"/>
        </w:rPr>
      </w:pPr>
    </w:p>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ind w:firstLine="3963"/>
        <w:jc w:val="center"/>
        <w:rPr>
          <w:color w:val="auto"/>
          <w:lang w:val="uk-UA"/>
        </w:rPr>
      </w:pPr>
      <w:r w:rsidRPr="003C4D9A">
        <w:rPr>
          <w:rFonts w:ascii="Times New Roman" w:eastAsia="Times New Roman" w:hAnsi="Times New Roman" w:cs="Times New Roman"/>
          <w:color w:val="auto"/>
          <w:sz w:val="24"/>
          <w:szCs w:val="24"/>
          <w:lang w:val="uk-UA"/>
        </w:rPr>
        <w:t>Згідно з Додатком 2</w:t>
      </w:r>
    </w:p>
    <w:p w:rsidR="008E7D2F" w:rsidRPr="003C4D9A" w:rsidRDefault="00D62AB7" w:rsidP="00776251">
      <w:pPr>
        <w:spacing w:after="140" w:line="240" w:lineRule="auto"/>
        <w:ind w:firstLine="3950"/>
        <w:jc w:val="center"/>
        <w:rPr>
          <w:color w:val="auto"/>
          <w:lang w:val="uk-UA"/>
        </w:rPr>
      </w:pPr>
      <w:r w:rsidRPr="003C4D9A">
        <w:rPr>
          <w:rFonts w:ascii="Times New Roman" w:eastAsia="Times New Roman" w:hAnsi="Times New Roman" w:cs="Times New Roman"/>
          <w:color w:val="auto"/>
          <w:sz w:val="24"/>
          <w:szCs w:val="24"/>
          <w:lang w:val="uk-UA"/>
        </w:rPr>
        <w:t>до Методики проведення аналізу впливу</w:t>
      </w:r>
    </w:p>
    <w:p w:rsidR="008E7D2F" w:rsidRPr="003C4D9A" w:rsidRDefault="00D62AB7" w:rsidP="00776251">
      <w:pPr>
        <w:spacing w:after="140" w:line="240" w:lineRule="auto"/>
        <w:ind w:firstLine="3938"/>
        <w:jc w:val="center"/>
        <w:rPr>
          <w:color w:val="auto"/>
          <w:lang w:val="uk-UA"/>
        </w:rPr>
      </w:pPr>
      <w:r w:rsidRPr="003C4D9A">
        <w:rPr>
          <w:rFonts w:ascii="Times New Roman" w:eastAsia="Times New Roman" w:hAnsi="Times New Roman" w:cs="Times New Roman"/>
          <w:color w:val="auto"/>
          <w:sz w:val="24"/>
          <w:szCs w:val="24"/>
          <w:lang w:val="uk-UA"/>
        </w:rPr>
        <w:t>регуляторного акта</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 </w:t>
      </w: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ВИТРАТИ</w:t>
      </w: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на одного суб’єкта господарювання великого і середнього підприємництва, які виникають внаслідок дії регуляторного акта</w:t>
      </w:r>
    </w:p>
    <w:tbl>
      <w:tblPr>
        <w:tblStyle w:val="15"/>
        <w:tblW w:w="9641" w:type="dxa"/>
        <w:tblInd w:w="0" w:type="dxa"/>
        <w:tblLayout w:type="fixed"/>
        <w:tblLook w:val="0400" w:firstRow="0" w:lastRow="0" w:firstColumn="0" w:lastColumn="0" w:noHBand="0" w:noVBand="1"/>
      </w:tblPr>
      <w:tblGrid>
        <w:gridCol w:w="716"/>
        <w:gridCol w:w="5512"/>
        <w:gridCol w:w="1688"/>
        <w:gridCol w:w="1725"/>
      </w:tblGrid>
      <w:tr w:rsidR="003C4D9A" w:rsidRPr="003C4D9A" w:rsidTr="002E028C">
        <w:trPr>
          <w:cantSplit/>
        </w:trPr>
        <w:tc>
          <w:tcPr>
            <w:tcW w:w="716"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5512"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w:t>
            </w:r>
          </w:p>
        </w:tc>
        <w:tc>
          <w:tcPr>
            <w:tcW w:w="1688"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перший рік</w:t>
            </w:r>
          </w:p>
        </w:tc>
        <w:tc>
          <w:tcPr>
            <w:tcW w:w="17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п'ять років</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Податки та збори (зміна розміру податків/зборів, виникнення необхідності у сплаті податків/зборів),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підготовку до отримання адміністративних послуги та інших послуг (проведення наукових, інших експертиз, страхування тощо), збирання необхідних положень та підписів всіх учасників процесу будівництва нового м’ясокомбінату чи м’ясопереробного підприємства, поштові витрати та збір введення в експлуатацію,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14 100 </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14 1000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3.1.</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розроблення декларації безпеки</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5 000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5 000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3.2.</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розробку та затвердження плану локалізації і ліквідації аварій для кожного об'єкта підвищеної небезпеки</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5 000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5 000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3.3.</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Експертиза декларації безпеки у сторонньої організації</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25 000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25 000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3.4. </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Надсилання декларація безпеки разом з позитивним висновком експертизи подається  відповідним  територіальним  органам: 1)  </w:t>
            </w:r>
            <w:proofErr w:type="spellStart"/>
            <w:r w:rsidRPr="003C4D9A">
              <w:rPr>
                <w:rFonts w:ascii="Times New Roman" w:eastAsia="Times New Roman" w:hAnsi="Times New Roman" w:cs="Times New Roman"/>
                <w:color w:val="auto"/>
                <w:sz w:val="24"/>
                <w:szCs w:val="24"/>
                <w:lang w:val="uk-UA"/>
              </w:rPr>
              <w:t>Держпраці</w:t>
            </w:r>
            <w:proofErr w:type="spellEnd"/>
            <w:r w:rsidRPr="003C4D9A">
              <w:rPr>
                <w:rFonts w:ascii="Times New Roman" w:eastAsia="Times New Roman" w:hAnsi="Times New Roman" w:cs="Times New Roman"/>
                <w:color w:val="auto"/>
                <w:sz w:val="24"/>
                <w:szCs w:val="24"/>
                <w:lang w:val="uk-UA"/>
              </w:rPr>
              <w:t xml:space="preserve">,  2) ДСНС, 3) Держекоінспекції,  4) державної  санітарно-епідеміологічної  служби, 5) </w:t>
            </w:r>
            <w:proofErr w:type="spellStart"/>
            <w:r w:rsidRPr="003C4D9A">
              <w:rPr>
                <w:rFonts w:ascii="Times New Roman" w:eastAsia="Times New Roman" w:hAnsi="Times New Roman" w:cs="Times New Roman"/>
                <w:color w:val="auto"/>
                <w:sz w:val="24"/>
                <w:szCs w:val="24"/>
                <w:lang w:val="uk-UA"/>
              </w:rPr>
              <w:t>Держархбудінспекції</w:t>
            </w:r>
            <w:proofErr w:type="spellEnd"/>
            <w:r w:rsidRPr="003C4D9A">
              <w:rPr>
                <w:rFonts w:ascii="Times New Roman" w:eastAsia="Times New Roman" w:hAnsi="Times New Roman" w:cs="Times New Roman"/>
                <w:color w:val="auto"/>
                <w:sz w:val="24"/>
                <w:szCs w:val="24"/>
                <w:lang w:val="uk-UA"/>
              </w:rPr>
              <w:t xml:space="preserve">, а     також     6) відповідній     місцевій держадміністрації  або  виконавчому  органу  місцевої ради (далі - уповноважені   органи), при показнику середній вартості робочої години співробітника – 81, 25 коп., та загальній кількості годин затраченого часу – 48 годин.  </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3 900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3 900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оборотні активи (матеріали, канцелярські товари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5</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Витрати, пов’язані із </w:t>
            </w:r>
            <w:proofErr w:type="spellStart"/>
            <w:r w:rsidRPr="003C4D9A">
              <w:rPr>
                <w:rFonts w:ascii="Times New Roman" w:eastAsia="Times New Roman" w:hAnsi="Times New Roman" w:cs="Times New Roman"/>
                <w:color w:val="auto"/>
                <w:sz w:val="24"/>
                <w:szCs w:val="24"/>
                <w:lang w:val="uk-UA"/>
              </w:rPr>
              <w:t>наймом</w:t>
            </w:r>
            <w:proofErr w:type="spellEnd"/>
            <w:r w:rsidRPr="003C4D9A">
              <w:rPr>
                <w:rFonts w:ascii="Times New Roman" w:eastAsia="Times New Roman" w:hAnsi="Times New Roman" w:cs="Times New Roman"/>
                <w:color w:val="auto"/>
                <w:sz w:val="24"/>
                <w:szCs w:val="24"/>
                <w:lang w:val="uk-UA"/>
              </w:rPr>
              <w:t xml:space="preserve"> додаткового персоналу,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8E7D2F" w:rsidP="00776251">
            <w:pPr>
              <w:spacing w:line="240" w:lineRule="auto"/>
              <w:contextualSpacing w:val="0"/>
              <w:rPr>
                <w:color w:val="auto"/>
                <w:lang w:val="uk-UA"/>
              </w:rPr>
            </w:pP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РАЗОМ,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53 000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53 000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66</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66</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3618B2"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3 498 </w:t>
            </w:r>
            <w:r w:rsidR="00D62AB7" w:rsidRPr="003C4D9A">
              <w:rPr>
                <w:rFonts w:ascii="Times New Roman" w:eastAsia="Times New Roman" w:hAnsi="Times New Roman" w:cs="Times New Roman"/>
                <w:color w:val="auto"/>
                <w:sz w:val="24"/>
                <w:szCs w:val="24"/>
                <w:lang w:val="uk-UA"/>
              </w:rPr>
              <w:t>000</w:t>
            </w:r>
          </w:p>
          <w:p w:rsidR="008E7D2F" w:rsidRPr="003C4D9A" w:rsidRDefault="008E7D2F" w:rsidP="00776251">
            <w:pPr>
              <w:spacing w:line="240" w:lineRule="auto"/>
              <w:contextualSpacing w:val="0"/>
              <w:rPr>
                <w:color w:val="auto"/>
                <w:lang w:val="uk-UA"/>
              </w:rPr>
            </w:pP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3 498 000</w:t>
            </w:r>
          </w:p>
          <w:p w:rsidR="008E7D2F" w:rsidRPr="003C4D9A" w:rsidRDefault="008E7D2F" w:rsidP="00776251">
            <w:pPr>
              <w:spacing w:line="240" w:lineRule="auto"/>
              <w:contextualSpacing w:val="0"/>
              <w:rPr>
                <w:color w:val="auto"/>
                <w:lang w:val="uk-UA"/>
              </w:rPr>
            </w:pPr>
          </w:p>
        </w:tc>
      </w:tr>
    </w:tbl>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ab/>
        <w:t>ВИТРАТИ</w:t>
      </w: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на одного суб’єкта господарювання великого і середнього підприємництва (Альтернатива 2), які виникають внаслідок дії регуляторного акта</w:t>
      </w:r>
    </w:p>
    <w:tbl>
      <w:tblPr>
        <w:tblStyle w:val="14"/>
        <w:tblW w:w="9641" w:type="dxa"/>
        <w:tblInd w:w="0" w:type="dxa"/>
        <w:tblLayout w:type="fixed"/>
        <w:tblLook w:val="0400" w:firstRow="0" w:lastRow="0" w:firstColumn="0" w:lastColumn="0" w:noHBand="0" w:noVBand="1"/>
      </w:tblPr>
      <w:tblGrid>
        <w:gridCol w:w="716"/>
        <w:gridCol w:w="5512"/>
        <w:gridCol w:w="1688"/>
        <w:gridCol w:w="1725"/>
      </w:tblGrid>
      <w:tr w:rsidR="003C4D9A" w:rsidRPr="003C4D9A" w:rsidTr="002E028C">
        <w:trPr>
          <w:cantSplit/>
        </w:trPr>
        <w:tc>
          <w:tcPr>
            <w:tcW w:w="716"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5512"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w:t>
            </w:r>
          </w:p>
        </w:tc>
        <w:tc>
          <w:tcPr>
            <w:tcW w:w="1688"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перший рік</w:t>
            </w:r>
          </w:p>
        </w:tc>
        <w:tc>
          <w:tcPr>
            <w:tcW w:w="17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п'ять років</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Податки та збори (зміна розміру податків/зборів, виникнення необхідності у сплаті податків/зборів),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підготовку до отримання адміністративних послуги та інших послуг (проведення наукових, інших експертиз, страхування тощо), збирання необхідних положень та підписів всіх учасників процесу будівництва нового м’ясокомбінату чи м’ясопереробного підприємства, поштові витрати,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1 300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оборотні активи (матеріали, канцелярські товари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85</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85</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Витрати, пов’язані із </w:t>
            </w:r>
            <w:proofErr w:type="spellStart"/>
            <w:r w:rsidRPr="003C4D9A">
              <w:rPr>
                <w:rFonts w:ascii="Times New Roman" w:eastAsia="Times New Roman" w:hAnsi="Times New Roman" w:cs="Times New Roman"/>
                <w:color w:val="auto"/>
                <w:sz w:val="24"/>
                <w:szCs w:val="24"/>
                <w:lang w:val="uk-UA"/>
              </w:rPr>
              <w:t>наймом</w:t>
            </w:r>
            <w:proofErr w:type="spellEnd"/>
            <w:r w:rsidRPr="003C4D9A">
              <w:rPr>
                <w:rFonts w:ascii="Times New Roman" w:eastAsia="Times New Roman" w:hAnsi="Times New Roman" w:cs="Times New Roman"/>
                <w:color w:val="auto"/>
                <w:sz w:val="24"/>
                <w:szCs w:val="24"/>
                <w:lang w:val="uk-UA"/>
              </w:rPr>
              <w:t xml:space="preserve"> додаткового персоналу,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8E7D2F" w:rsidP="00776251">
            <w:pPr>
              <w:spacing w:line="240" w:lineRule="auto"/>
              <w:contextualSpacing w:val="0"/>
              <w:rPr>
                <w:color w:val="auto"/>
                <w:lang w:val="uk-UA"/>
              </w:rPr>
            </w:pP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РАЗОМ,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1 385</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1 385</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66</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66</w:t>
            </w:r>
          </w:p>
        </w:tc>
      </w:tr>
      <w:tr w:rsidR="003C4D9A" w:rsidRPr="003C4D9A" w:rsidTr="002E028C">
        <w:trPr>
          <w:cantSplit/>
        </w:trPr>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91 410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91 410</w:t>
            </w:r>
          </w:p>
        </w:tc>
      </w:tr>
    </w:tbl>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ВИТРАТИ</w:t>
      </w: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на одного суб’єкта господарювання великого і середнього підприємництва (Альтернатива 3), які виникають внаслідок дії регуляторного акта</w:t>
      </w:r>
    </w:p>
    <w:tbl>
      <w:tblPr>
        <w:tblStyle w:val="13"/>
        <w:tblW w:w="9641" w:type="dxa"/>
        <w:tblInd w:w="-113" w:type="dxa"/>
        <w:tblLayout w:type="fixed"/>
        <w:tblLook w:val="0400" w:firstRow="0" w:lastRow="0" w:firstColumn="0" w:lastColumn="0" w:noHBand="0" w:noVBand="1"/>
      </w:tblPr>
      <w:tblGrid>
        <w:gridCol w:w="716"/>
        <w:gridCol w:w="5512"/>
        <w:gridCol w:w="1688"/>
        <w:gridCol w:w="1725"/>
      </w:tblGrid>
      <w:tr w:rsidR="003C4D9A" w:rsidRPr="003C4D9A">
        <w:tc>
          <w:tcPr>
            <w:tcW w:w="716"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w:t>
            </w:r>
          </w:p>
        </w:tc>
        <w:tc>
          <w:tcPr>
            <w:tcW w:w="5512"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w:t>
            </w:r>
          </w:p>
        </w:tc>
        <w:tc>
          <w:tcPr>
            <w:tcW w:w="1688"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перший рік</w:t>
            </w:r>
          </w:p>
        </w:tc>
        <w:tc>
          <w:tcPr>
            <w:tcW w:w="17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п'ять років</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Податки та збори (зміна розміру податків/зборів, виникнення необхідності у сплаті податків/зборів),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підготовку до отримання адміністративних послуги та інших послуг (проведення наукових, інших експертиз, страхування тощо), збирання необхідних положень та підписів всіх учасників процесу будівництва нового м’ясокомбінату чи м’ясопереробного підприємства, поштові витрати,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1 300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1 300</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Витрати на оборотні активи (матеріали, канцелярські товари тощо),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85</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85</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Витрати, пов’язані із </w:t>
            </w:r>
            <w:proofErr w:type="spellStart"/>
            <w:r w:rsidRPr="003C4D9A">
              <w:rPr>
                <w:rFonts w:ascii="Times New Roman" w:eastAsia="Times New Roman" w:hAnsi="Times New Roman" w:cs="Times New Roman"/>
                <w:color w:val="auto"/>
                <w:sz w:val="24"/>
                <w:szCs w:val="24"/>
                <w:lang w:val="uk-UA"/>
              </w:rPr>
              <w:t>наймом</w:t>
            </w:r>
            <w:proofErr w:type="spellEnd"/>
            <w:r w:rsidRPr="003C4D9A">
              <w:rPr>
                <w:rFonts w:ascii="Times New Roman" w:eastAsia="Times New Roman" w:hAnsi="Times New Roman" w:cs="Times New Roman"/>
                <w:color w:val="auto"/>
                <w:sz w:val="24"/>
                <w:szCs w:val="24"/>
                <w:lang w:val="uk-UA"/>
              </w:rPr>
              <w:t xml:space="preserve"> додаткового персоналу,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8E7D2F" w:rsidP="00776251">
            <w:pPr>
              <w:spacing w:line="240" w:lineRule="auto"/>
              <w:contextualSpacing w:val="0"/>
              <w:rPr>
                <w:color w:val="auto"/>
                <w:lang w:val="uk-UA"/>
              </w:rPr>
            </w:pP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7</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РАЗОМ,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1 385</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1 385</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8</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66</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66</w:t>
            </w:r>
          </w:p>
        </w:tc>
      </w:tr>
      <w:tr w:rsidR="003C4D9A" w:rsidRPr="003C4D9A">
        <w:tc>
          <w:tcPr>
            <w:tcW w:w="716"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w:t>
            </w:r>
          </w:p>
        </w:tc>
        <w:tc>
          <w:tcPr>
            <w:tcW w:w="5512"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гривень</w:t>
            </w:r>
          </w:p>
        </w:tc>
        <w:tc>
          <w:tcPr>
            <w:tcW w:w="1688"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91 410 </w:t>
            </w:r>
          </w:p>
        </w:tc>
        <w:tc>
          <w:tcPr>
            <w:tcW w:w="1725"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91 410</w:t>
            </w:r>
          </w:p>
        </w:tc>
      </w:tr>
    </w:tbl>
    <w:p w:rsidR="008E7D2F" w:rsidRPr="003C4D9A" w:rsidRDefault="008E7D2F" w:rsidP="00776251">
      <w:pPr>
        <w:tabs>
          <w:tab w:val="left" w:pos="8844"/>
        </w:tabs>
        <w:spacing w:after="140" w:line="240" w:lineRule="auto"/>
        <w:rPr>
          <w:color w:val="auto"/>
          <w:lang w:val="uk-UA"/>
        </w:rPr>
      </w:pPr>
    </w:p>
    <w:p w:rsidR="008E7D2F" w:rsidRPr="003C4D9A" w:rsidRDefault="008E7D2F" w:rsidP="00776251">
      <w:pPr>
        <w:tabs>
          <w:tab w:val="left" w:pos="8844"/>
        </w:tabs>
        <w:spacing w:after="140" w:line="240" w:lineRule="auto"/>
        <w:rPr>
          <w:color w:val="auto"/>
          <w:lang w:val="uk-UA"/>
        </w:rPr>
      </w:pPr>
    </w:p>
    <w:p w:rsidR="008E7D2F" w:rsidRPr="003C4D9A" w:rsidRDefault="008E7D2F" w:rsidP="00776251">
      <w:pPr>
        <w:tabs>
          <w:tab w:val="left" w:pos="8844"/>
        </w:tabs>
        <w:spacing w:after="140" w:line="240" w:lineRule="auto"/>
        <w:rPr>
          <w:color w:val="auto"/>
          <w:lang w:val="uk-UA"/>
        </w:rPr>
      </w:pP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Оцінка сумарних витрат за альтернативами</w:t>
      </w:r>
    </w:p>
    <w:tbl>
      <w:tblPr>
        <w:tblStyle w:val="12"/>
        <w:tblW w:w="9638" w:type="dxa"/>
        <w:tblInd w:w="-110" w:type="dxa"/>
        <w:tblLayout w:type="fixed"/>
        <w:tblLook w:val="0400" w:firstRow="0" w:lastRow="0" w:firstColumn="0" w:lastColumn="0" w:noHBand="0" w:noVBand="1"/>
      </w:tblPr>
      <w:tblGrid>
        <w:gridCol w:w="4819"/>
        <w:gridCol w:w="4819"/>
      </w:tblGrid>
      <w:tr w:rsidR="003C4D9A" w:rsidRPr="003C4D9A">
        <w:trPr>
          <w:trHeight w:val="500"/>
        </w:trPr>
        <w:tc>
          <w:tcPr>
            <w:tcW w:w="4819"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Сумарні витрати за альтернативами</w:t>
            </w:r>
          </w:p>
        </w:tc>
        <w:tc>
          <w:tcPr>
            <w:tcW w:w="48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Сума витрат, гривень</w:t>
            </w:r>
          </w:p>
        </w:tc>
      </w:tr>
      <w:tr w:rsidR="003C4D9A" w:rsidRPr="003C4D9A">
        <w:trPr>
          <w:trHeight w:val="500"/>
        </w:trPr>
        <w:tc>
          <w:tcPr>
            <w:tcW w:w="4819"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1</w:t>
            </w:r>
          </w:p>
        </w:tc>
        <w:tc>
          <w:tcPr>
            <w:tcW w:w="48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53</w:t>
            </w:r>
            <w:r w:rsidR="00C96676" w:rsidRPr="003C4D9A">
              <w:rPr>
                <w:rFonts w:ascii="Times New Roman" w:eastAsia="Times New Roman" w:hAnsi="Times New Roman" w:cs="Times New Roman"/>
                <w:color w:val="auto"/>
                <w:sz w:val="24"/>
                <w:szCs w:val="24"/>
                <w:lang w:val="en-US"/>
              </w:rPr>
              <w:t xml:space="preserve"> </w:t>
            </w:r>
            <w:r w:rsidRPr="003C4D9A">
              <w:rPr>
                <w:rFonts w:ascii="Times New Roman" w:eastAsia="Times New Roman" w:hAnsi="Times New Roman" w:cs="Times New Roman"/>
                <w:color w:val="auto"/>
                <w:sz w:val="24"/>
                <w:szCs w:val="24"/>
                <w:lang w:val="uk-UA"/>
              </w:rPr>
              <w:t>000 (на 1 суб’єкта для здійснення заходів щодо проведення екологічної експертизи)</w:t>
            </w:r>
          </w:p>
        </w:tc>
      </w:tr>
      <w:tr w:rsidR="003C4D9A" w:rsidRPr="003C4D9A">
        <w:trPr>
          <w:trHeight w:val="500"/>
        </w:trPr>
        <w:tc>
          <w:tcPr>
            <w:tcW w:w="4819"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48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r w:rsidR="00C96676" w:rsidRPr="003C4D9A">
              <w:rPr>
                <w:rFonts w:ascii="Times New Roman" w:eastAsia="Times New Roman" w:hAnsi="Times New Roman" w:cs="Times New Roman"/>
                <w:color w:val="auto"/>
                <w:sz w:val="24"/>
                <w:szCs w:val="24"/>
                <w:lang w:val="en-US"/>
              </w:rPr>
              <w:t xml:space="preserve"> </w:t>
            </w:r>
            <w:r w:rsidRPr="003C4D9A">
              <w:rPr>
                <w:rFonts w:ascii="Times New Roman" w:eastAsia="Times New Roman" w:hAnsi="Times New Roman" w:cs="Times New Roman"/>
                <w:color w:val="auto"/>
                <w:sz w:val="24"/>
                <w:szCs w:val="24"/>
                <w:lang w:val="uk-UA"/>
              </w:rPr>
              <w:t>385  (на 1 суб’єкта, що буде позбавлений вимоги проведення екологічної експертизи)</w:t>
            </w:r>
          </w:p>
        </w:tc>
      </w:tr>
      <w:tr w:rsidR="003C4D9A" w:rsidRPr="003C4D9A">
        <w:tc>
          <w:tcPr>
            <w:tcW w:w="4819"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4819"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C96676" w:rsidP="00776251">
            <w:pPr>
              <w:spacing w:line="240" w:lineRule="auto"/>
              <w:contextualSpacing w:val="0"/>
              <w:rPr>
                <w:color w:val="auto"/>
                <w:lang w:val="en-US"/>
              </w:rPr>
            </w:pPr>
            <w:r w:rsidRPr="003C4D9A">
              <w:rPr>
                <w:rFonts w:ascii="Times New Roman" w:eastAsia="Times New Roman" w:hAnsi="Times New Roman" w:cs="Times New Roman"/>
                <w:color w:val="auto"/>
                <w:sz w:val="24"/>
                <w:szCs w:val="24"/>
                <w:lang w:val="uk-UA"/>
              </w:rPr>
              <w:t xml:space="preserve">1 </w:t>
            </w:r>
            <w:r w:rsidR="00D62AB7" w:rsidRPr="003C4D9A">
              <w:rPr>
                <w:rFonts w:ascii="Times New Roman" w:eastAsia="Times New Roman" w:hAnsi="Times New Roman" w:cs="Times New Roman"/>
                <w:color w:val="auto"/>
                <w:sz w:val="24"/>
                <w:szCs w:val="24"/>
                <w:lang w:val="uk-UA"/>
              </w:rPr>
              <w:t>385 (на 1 суб’єкта, що буде позбавлений вимоги проведення екологічної експертизи)</w:t>
            </w:r>
            <w:r w:rsidRPr="003C4D9A">
              <w:rPr>
                <w:rFonts w:ascii="Times New Roman" w:eastAsia="Times New Roman" w:hAnsi="Times New Roman" w:cs="Times New Roman"/>
                <w:color w:val="auto"/>
                <w:sz w:val="24"/>
                <w:szCs w:val="24"/>
                <w:lang w:val="en-US"/>
              </w:rPr>
              <w:t>, 53 000</w:t>
            </w:r>
            <w:r w:rsidRPr="003C4D9A">
              <w:rPr>
                <w:rFonts w:ascii="Times New Roman" w:eastAsia="Times New Roman" w:hAnsi="Times New Roman" w:cs="Times New Roman"/>
                <w:color w:val="auto"/>
                <w:sz w:val="24"/>
                <w:szCs w:val="24"/>
                <w:lang w:val="uk-UA"/>
              </w:rPr>
              <w:t xml:space="preserve"> (на 1 суб’єкта для здійснення заходів щодо проведення екологічної експертизи)</w:t>
            </w:r>
          </w:p>
        </w:tc>
      </w:tr>
    </w:tbl>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IV. Вибір найбільш оптимального альтернативного способу досягнення цілей</w:t>
      </w:r>
    </w:p>
    <w:tbl>
      <w:tblPr>
        <w:tblStyle w:val="11"/>
        <w:tblW w:w="96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2490"/>
        <w:gridCol w:w="4080"/>
      </w:tblGrid>
      <w:tr w:rsidR="003C4D9A" w:rsidRPr="003C4D9A" w:rsidTr="002E028C">
        <w:trPr>
          <w:cantSplit/>
        </w:trPr>
        <w:tc>
          <w:tcPr>
            <w:tcW w:w="304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lastRenderedPageBreak/>
              <w:t>Рейтинг результативності (досягнення цілей під час вирішення проблеми)</w:t>
            </w:r>
          </w:p>
        </w:tc>
        <w:tc>
          <w:tcPr>
            <w:tcW w:w="24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Бал результативності (за чотирибальною системою оцінки)</w:t>
            </w:r>
          </w:p>
        </w:tc>
        <w:tc>
          <w:tcPr>
            <w:tcW w:w="408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Коментарі щодо присвоєння відповідного балу</w:t>
            </w:r>
          </w:p>
        </w:tc>
      </w:tr>
      <w:tr w:rsidR="003C4D9A" w:rsidRPr="003C4D9A" w:rsidTr="002E028C">
        <w:trPr>
          <w:cantSplit/>
        </w:trPr>
        <w:tc>
          <w:tcPr>
            <w:tcW w:w="304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1</w:t>
            </w:r>
          </w:p>
        </w:tc>
        <w:tc>
          <w:tcPr>
            <w:tcW w:w="24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408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Збереження чинного регулювання не відповідає загальній політиці держави на сприяння бізнесу та зменшенню надмірного регуляторного тиску.</w:t>
            </w:r>
            <w:r w:rsidR="00C96676" w:rsidRPr="003C4D9A">
              <w:rPr>
                <w:rFonts w:ascii="Times New Roman" w:eastAsia="Times New Roman" w:hAnsi="Times New Roman" w:cs="Times New Roman"/>
                <w:color w:val="auto"/>
                <w:sz w:val="24"/>
                <w:szCs w:val="24"/>
                <w:lang w:val="en-US"/>
              </w:rPr>
              <w:t xml:space="preserve"> </w:t>
            </w:r>
            <w:r w:rsidR="00C96676" w:rsidRPr="003C4D9A">
              <w:rPr>
                <w:rFonts w:ascii="Times New Roman" w:eastAsia="Times New Roman" w:hAnsi="Times New Roman" w:cs="Times New Roman"/>
                <w:color w:val="auto"/>
                <w:sz w:val="24"/>
                <w:szCs w:val="24"/>
                <w:lang w:val="uk-UA"/>
              </w:rPr>
              <w:t xml:space="preserve">При цьому </w:t>
            </w:r>
            <w:r w:rsidR="00A03E01" w:rsidRPr="003C4D9A">
              <w:rPr>
                <w:rFonts w:ascii="Times New Roman" w:eastAsia="Times New Roman" w:hAnsi="Times New Roman" w:cs="Times New Roman"/>
                <w:color w:val="auto"/>
                <w:sz w:val="24"/>
                <w:szCs w:val="24"/>
                <w:lang w:val="en-US"/>
              </w:rPr>
              <w:t>і</w:t>
            </w:r>
            <w:r w:rsidR="00C96676" w:rsidRPr="003C4D9A">
              <w:rPr>
                <w:rFonts w:ascii="Times New Roman" w:eastAsia="Times New Roman" w:hAnsi="Times New Roman" w:cs="Times New Roman"/>
                <w:color w:val="auto"/>
                <w:sz w:val="24"/>
                <w:szCs w:val="24"/>
                <w:lang w:val="uk-UA"/>
              </w:rPr>
              <w:t>снує невідповідність за</w:t>
            </w:r>
            <w:r w:rsidR="00A03E01" w:rsidRPr="003C4D9A">
              <w:rPr>
                <w:rFonts w:ascii="Times New Roman" w:eastAsia="Times New Roman" w:hAnsi="Times New Roman" w:cs="Times New Roman"/>
                <w:color w:val="auto"/>
                <w:sz w:val="24"/>
                <w:szCs w:val="24"/>
                <w:lang w:val="uk-UA"/>
              </w:rPr>
              <w:t xml:space="preserve">вдання </w:t>
            </w:r>
            <w:r w:rsidR="00C96676" w:rsidRPr="003C4D9A">
              <w:rPr>
                <w:rFonts w:ascii="Times New Roman" w:eastAsia="Times New Roman" w:hAnsi="Times New Roman" w:cs="Times New Roman"/>
                <w:color w:val="auto"/>
                <w:sz w:val="24"/>
                <w:szCs w:val="24"/>
                <w:lang w:val="uk-UA"/>
              </w:rPr>
              <w:t xml:space="preserve">держави забезпечити екологічну безпеку. </w:t>
            </w:r>
            <w:r w:rsidRPr="003C4D9A">
              <w:rPr>
                <w:rFonts w:ascii="Times New Roman" w:eastAsia="Times New Roman" w:hAnsi="Times New Roman" w:cs="Times New Roman"/>
                <w:color w:val="auto"/>
                <w:sz w:val="24"/>
                <w:szCs w:val="24"/>
                <w:lang w:val="uk-UA"/>
              </w:rPr>
              <w:t xml:space="preserve"> </w:t>
            </w:r>
          </w:p>
        </w:tc>
      </w:tr>
      <w:tr w:rsidR="003C4D9A" w:rsidRPr="003C4D9A" w:rsidTr="002E028C">
        <w:trPr>
          <w:cantSplit/>
        </w:trPr>
        <w:tc>
          <w:tcPr>
            <w:tcW w:w="304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24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408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Альтернатива 2 створює правову прогалину, що несе ризик забруднення навколишнього природного середовища боєнськими відходами. </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Такий підхід може спричинити гостру екологічну кризу, здатний викликати небажане соціальне напруження на відповідних територіях та призвести до надмірних втрат підприємств через санкції за порушення екологічного законодавства.  </w:t>
            </w:r>
          </w:p>
        </w:tc>
      </w:tr>
      <w:tr w:rsidR="003C4D9A" w:rsidRPr="003C4D9A" w:rsidTr="002E028C">
        <w:trPr>
          <w:cantSplit/>
        </w:trPr>
        <w:tc>
          <w:tcPr>
            <w:tcW w:w="304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24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408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Після запровадження підходу, запропонованою даною Альтернативою процедура екологічної експертизи буде застосовуватись більш коректно та об’єкти, що не становлять високий ризик для екології  будуть звільнені від надмірного регулювання. Одночасно, оскільки застосування інструменту екологічної експертизи буде </w:t>
            </w:r>
            <w:r w:rsidR="00630920" w:rsidRPr="003C4D9A">
              <w:rPr>
                <w:rFonts w:ascii="Times New Roman" w:eastAsia="Times New Roman" w:hAnsi="Times New Roman" w:cs="Times New Roman"/>
                <w:color w:val="auto"/>
                <w:sz w:val="24"/>
                <w:szCs w:val="24"/>
                <w:lang w:val="uk-UA"/>
              </w:rPr>
              <w:t>здійснюватися</w:t>
            </w:r>
            <w:r w:rsidRPr="003C4D9A">
              <w:rPr>
                <w:rFonts w:ascii="Times New Roman" w:eastAsia="Times New Roman" w:hAnsi="Times New Roman" w:cs="Times New Roman"/>
                <w:color w:val="auto"/>
                <w:sz w:val="24"/>
                <w:szCs w:val="24"/>
                <w:lang w:val="uk-UA"/>
              </w:rPr>
              <w:t xml:space="preserve"> більш коректно, до об’єктів саме підвищеної екологічної небезпеки, це суттєво поліпшить правозастосовну практику в Україні, зменшить корупційні ризики та поліпшить стосунки між державою та бізнесом. </w:t>
            </w:r>
            <w:r w:rsidR="00A03E01" w:rsidRPr="003C4D9A">
              <w:rPr>
                <w:rFonts w:ascii="Times New Roman" w:eastAsia="Times New Roman" w:hAnsi="Times New Roman" w:cs="Times New Roman"/>
                <w:color w:val="auto"/>
                <w:sz w:val="24"/>
                <w:szCs w:val="24"/>
                <w:lang w:val="uk-UA"/>
              </w:rPr>
              <w:t xml:space="preserve">Ця Альтернатива допоможе виправити неконкурентні умови, коли ті, хто не виконує вимоги законодавства мають перевагу над тими, хто виконує. </w:t>
            </w:r>
          </w:p>
        </w:tc>
      </w:tr>
    </w:tbl>
    <w:p w:rsidR="008E7D2F" w:rsidRPr="003C4D9A" w:rsidRDefault="008E7D2F" w:rsidP="00776251">
      <w:pPr>
        <w:spacing w:line="240" w:lineRule="auto"/>
        <w:rPr>
          <w:color w:val="auto"/>
          <w:lang w:val="uk-UA"/>
        </w:rPr>
      </w:pPr>
    </w:p>
    <w:tbl>
      <w:tblPr>
        <w:tblStyle w:val="10"/>
        <w:tblW w:w="96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2550"/>
        <w:gridCol w:w="2670"/>
        <w:gridCol w:w="2730"/>
      </w:tblGrid>
      <w:tr w:rsidR="003C4D9A" w:rsidRPr="003C4D9A">
        <w:tc>
          <w:tcPr>
            <w:tcW w:w="170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Рейтинг результативності</w:t>
            </w:r>
          </w:p>
        </w:tc>
        <w:tc>
          <w:tcPr>
            <w:tcW w:w="255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Вигоди (підсумок)</w:t>
            </w:r>
          </w:p>
        </w:tc>
        <w:tc>
          <w:tcPr>
            <w:tcW w:w="267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Витрати (підсумок)</w:t>
            </w:r>
          </w:p>
        </w:tc>
        <w:tc>
          <w:tcPr>
            <w:tcW w:w="273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Обґрунтування відповідного місця альтернативи у рейтингу</w:t>
            </w:r>
          </w:p>
        </w:tc>
      </w:tr>
      <w:tr w:rsidR="003C4D9A" w:rsidRPr="003C4D9A">
        <w:tc>
          <w:tcPr>
            <w:tcW w:w="170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255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Держава: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Цією редакцією </w:t>
            </w:r>
            <w:r w:rsidRPr="003C4D9A">
              <w:rPr>
                <w:rFonts w:ascii="Times New Roman" w:eastAsia="Times New Roman" w:hAnsi="Times New Roman" w:cs="Times New Roman"/>
                <w:color w:val="auto"/>
                <w:sz w:val="24"/>
                <w:szCs w:val="24"/>
                <w:lang w:val="uk-UA"/>
              </w:rPr>
              <w:lastRenderedPageBreak/>
              <w:t xml:space="preserve">Постанови, держава зменшить адміністративне навантаження на бізнес, покращить загальний бізнес клімат, </w:t>
            </w:r>
            <w:r w:rsidR="00A300C3" w:rsidRPr="003C4D9A">
              <w:rPr>
                <w:rFonts w:ascii="Times New Roman" w:eastAsia="Times New Roman" w:hAnsi="Times New Roman" w:cs="Times New Roman"/>
                <w:color w:val="auto"/>
                <w:sz w:val="24"/>
                <w:szCs w:val="24"/>
                <w:lang w:val="uk-UA"/>
              </w:rPr>
              <w:t>належний рівень вимог до екологічної безпеки,</w:t>
            </w:r>
            <w:r w:rsidRPr="003C4D9A">
              <w:rPr>
                <w:rFonts w:ascii="Times New Roman" w:eastAsia="Times New Roman" w:hAnsi="Times New Roman" w:cs="Times New Roman"/>
                <w:color w:val="auto"/>
                <w:sz w:val="24"/>
                <w:szCs w:val="24"/>
                <w:lang w:val="uk-UA"/>
              </w:rPr>
              <w:t xml:space="preserve"> </w:t>
            </w:r>
            <w:r w:rsidR="00630920" w:rsidRPr="003C4D9A">
              <w:rPr>
                <w:rFonts w:ascii="Times New Roman" w:eastAsia="Times New Roman" w:hAnsi="Times New Roman" w:cs="Times New Roman"/>
                <w:color w:val="auto"/>
                <w:sz w:val="24"/>
                <w:szCs w:val="24"/>
                <w:lang w:val="uk-UA"/>
              </w:rPr>
              <w:t xml:space="preserve">застосувавши </w:t>
            </w:r>
            <w:r w:rsidR="00A300C3" w:rsidRPr="003C4D9A">
              <w:rPr>
                <w:rFonts w:ascii="Times New Roman" w:eastAsia="Times New Roman" w:hAnsi="Times New Roman" w:cs="Times New Roman"/>
                <w:color w:val="auto"/>
                <w:sz w:val="24"/>
                <w:szCs w:val="24"/>
                <w:lang w:val="uk-UA"/>
              </w:rPr>
              <w:t xml:space="preserve">державну </w:t>
            </w:r>
            <w:r w:rsidR="00630920" w:rsidRPr="003C4D9A">
              <w:rPr>
                <w:rFonts w:ascii="Times New Roman" w:eastAsia="Times New Roman" w:hAnsi="Times New Roman" w:cs="Times New Roman"/>
                <w:color w:val="auto"/>
                <w:sz w:val="24"/>
                <w:szCs w:val="24"/>
                <w:lang w:val="uk-UA"/>
              </w:rPr>
              <w:t>екологічну експертизу до діяльності із забою тварин та/або птиці</w:t>
            </w:r>
            <w:r w:rsidRPr="003C4D9A">
              <w:rPr>
                <w:rFonts w:ascii="Times New Roman" w:eastAsia="Times New Roman" w:hAnsi="Times New Roman" w:cs="Times New Roman"/>
                <w:color w:val="auto"/>
                <w:sz w:val="24"/>
                <w:szCs w:val="24"/>
                <w:lang w:val="uk-UA"/>
              </w:rPr>
              <w:t xml:space="preserve">. </w:t>
            </w:r>
            <w:r w:rsidRPr="003C4D9A">
              <w:rPr>
                <w:rFonts w:ascii="Times New Roman" w:eastAsia="Times New Roman" w:hAnsi="Times New Roman" w:cs="Times New Roman"/>
                <w:i/>
                <w:color w:val="auto"/>
                <w:sz w:val="24"/>
                <w:szCs w:val="24"/>
                <w:lang w:val="uk-UA"/>
              </w:rPr>
              <w:t>Додатково, усувається ще одне джерело конфліктів між державою та бізнесом</w:t>
            </w:r>
            <w:r w:rsidRPr="003C4D9A">
              <w:rPr>
                <w:rFonts w:ascii="Times New Roman" w:eastAsia="Times New Roman" w:hAnsi="Times New Roman" w:cs="Times New Roman"/>
                <w:color w:val="auto"/>
                <w:sz w:val="24"/>
                <w:szCs w:val="24"/>
                <w:lang w:val="uk-UA"/>
              </w:rPr>
              <w:t xml:space="preserve">. </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Завдяки дерегуляції, суб’єкти господарювання, які будуть виведені з під дії надмірного регулювання заощадять близько 53000 грн., що необхідні на проведення екологічної експертизи.</w:t>
            </w:r>
          </w:p>
        </w:tc>
        <w:tc>
          <w:tcPr>
            <w:tcW w:w="267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lastRenderedPageBreak/>
              <w:t>Держава: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Загальні:</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Сума:</w:t>
            </w:r>
            <w:r w:rsidRPr="003C4D9A">
              <w:rPr>
                <w:rFonts w:ascii="Times New Roman" w:eastAsia="Times New Roman" w:hAnsi="Times New Roman" w:cs="Times New Roman"/>
                <w:color w:val="auto"/>
                <w:sz w:val="24"/>
                <w:szCs w:val="24"/>
                <w:lang w:val="uk-UA"/>
              </w:rPr>
              <w:t xml:space="preserve"> 0</w:t>
            </w: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rFonts w:ascii="Sylfaen" w:hAnsi="Sylfaen"/>
                <w:color w:val="auto"/>
              </w:rPr>
            </w:pPr>
          </w:p>
          <w:p w:rsidR="008E7D2F" w:rsidRPr="003C4D9A" w:rsidRDefault="008E7D2F" w:rsidP="00776251">
            <w:pPr>
              <w:spacing w:line="240" w:lineRule="auto"/>
              <w:contextualSpacing w:val="0"/>
              <w:rPr>
                <w:color w:val="auto"/>
                <w:lang w:val="uk-UA"/>
              </w:rPr>
            </w:pPr>
          </w:p>
          <w:p w:rsidR="008E7D2F" w:rsidRPr="003C4D9A" w:rsidRDefault="008E7D2F"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03E01" w:rsidRPr="003C4D9A" w:rsidRDefault="00A03E01" w:rsidP="00776251">
            <w:pPr>
              <w:spacing w:line="240" w:lineRule="auto"/>
              <w:contextualSpacing w:val="0"/>
              <w:rPr>
                <w:color w:val="auto"/>
                <w:lang w:val="uk-UA"/>
              </w:rPr>
            </w:pPr>
          </w:p>
          <w:p w:rsidR="00A300C3" w:rsidRPr="003C4D9A" w:rsidRDefault="00A300C3" w:rsidP="00776251">
            <w:pPr>
              <w:spacing w:line="240" w:lineRule="auto"/>
              <w:contextualSpacing w:val="0"/>
              <w:rPr>
                <w:color w:val="auto"/>
                <w:lang w:val="uk-UA"/>
              </w:rPr>
            </w:pPr>
          </w:p>
          <w:p w:rsidR="007B42CF" w:rsidRPr="003C4D9A" w:rsidRDefault="007B42CF" w:rsidP="00776251">
            <w:pPr>
              <w:spacing w:line="240" w:lineRule="auto"/>
              <w:contextualSpacing w:val="0"/>
              <w:rPr>
                <w:rFonts w:ascii="Sylfaen" w:hAnsi="Sylfaen"/>
                <w:color w:val="auto"/>
                <w:lang w:val="en-US"/>
              </w:rPr>
            </w:pP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 xml:space="preserve">Ввід в експлуатацію </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Загальні:</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Введення в експлуатацію за вимогами класу наслідків СС2. </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Сума:</w:t>
            </w:r>
            <w:r w:rsidRPr="003C4D9A">
              <w:rPr>
                <w:rFonts w:ascii="Times New Roman" w:eastAsia="Times New Roman" w:hAnsi="Times New Roman" w:cs="Times New Roman"/>
                <w:color w:val="auto"/>
                <w:sz w:val="24"/>
                <w:szCs w:val="24"/>
                <w:lang w:val="uk-UA"/>
              </w:rPr>
              <w:t xml:space="preserve"> 1 385 гривень</w:t>
            </w:r>
          </w:p>
          <w:p w:rsidR="008E7D2F" w:rsidRPr="003C4D9A" w:rsidRDefault="008E7D2F" w:rsidP="00776251">
            <w:pPr>
              <w:spacing w:line="240" w:lineRule="auto"/>
              <w:contextualSpacing w:val="0"/>
              <w:rPr>
                <w:color w:val="auto"/>
                <w:lang w:val="uk-UA"/>
              </w:rPr>
            </w:pPr>
          </w:p>
        </w:tc>
        <w:tc>
          <w:tcPr>
            <w:tcW w:w="273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 xml:space="preserve">Дана Альтернатива дозволяє у найбільш </w:t>
            </w:r>
            <w:r w:rsidRPr="003C4D9A">
              <w:rPr>
                <w:rFonts w:ascii="Times New Roman" w:eastAsia="Times New Roman" w:hAnsi="Times New Roman" w:cs="Times New Roman"/>
                <w:color w:val="auto"/>
                <w:sz w:val="24"/>
                <w:szCs w:val="24"/>
                <w:lang w:val="uk-UA"/>
              </w:rPr>
              <w:lastRenderedPageBreak/>
              <w:t>оптимальний спосіб виправити некоректність застосування регуляторного інструменту (екологічної експертизи) та передбачає часткове спрощення регуляторних процедур порівняно із існуючими вимогами.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 При цьому в правовому полі лишається такий інструмент як експлуатаційний дозвіл, передбачений Законом України "Про основні принципи та вимоги до безпечності та якості харчових продуктів".</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Таким чином суб’єкти господарювання підпадатимуть під регулювання, що є достатнім для належного підтримання рівня</w:t>
            </w:r>
            <w:r w:rsidR="00630920" w:rsidRPr="003C4D9A">
              <w:rPr>
                <w:rFonts w:ascii="Times New Roman" w:eastAsia="Times New Roman" w:hAnsi="Times New Roman" w:cs="Times New Roman"/>
                <w:color w:val="auto"/>
                <w:sz w:val="24"/>
                <w:szCs w:val="24"/>
                <w:lang w:val="uk-UA"/>
              </w:rPr>
              <w:t xml:space="preserve"> харчової безпечності</w:t>
            </w:r>
            <w:r w:rsidRPr="003C4D9A">
              <w:rPr>
                <w:rFonts w:ascii="Times New Roman" w:eastAsia="Times New Roman" w:hAnsi="Times New Roman" w:cs="Times New Roman"/>
                <w:color w:val="auto"/>
                <w:sz w:val="24"/>
                <w:szCs w:val="24"/>
                <w:lang w:val="uk-UA"/>
              </w:rPr>
              <w:t>, в тому числі</w:t>
            </w:r>
            <w:r w:rsidR="00630920" w:rsidRPr="003C4D9A">
              <w:rPr>
                <w:rFonts w:ascii="Times New Roman" w:eastAsia="Times New Roman" w:hAnsi="Times New Roman" w:cs="Times New Roman"/>
                <w:color w:val="auto"/>
                <w:sz w:val="24"/>
                <w:szCs w:val="24"/>
                <w:lang w:val="uk-UA"/>
              </w:rPr>
              <w:t>,</w:t>
            </w:r>
            <w:r w:rsidRPr="003C4D9A">
              <w:rPr>
                <w:rFonts w:ascii="Times New Roman" w:eastAsia="Times New Roman" w:hAnsi="Times New Roman" w:cs="Times New Roman"/>
                <w:color w:val="auto"/>
                <w:sz w:val="24"/>
                <w:szCs w:val="24"/>
                <w:lang w:val="uk-UA"/>
              </w:rPr>
              <w:t xml:space="preserve"> і екологічної безпеки. </w:t>
            </w:r>
          </w:p>
          <w:p w:rsidR="008E7D2F" w:rsidRPr="003C4D9A" w:rsidRDefault="008E7D2F" w:rsidP="00776251">
            <w:pPr>
              <w:spacing w:line="240" w:lineRule="auto"/>
              <w:contextualSpacing w:val="0"/>
              <w:rPr>
                <w:color w:val="auto"/>
                <w:lang w:val="uk-UA"/>
              </w:rPr>
            </w:pPr>
          </w:p>
        </w:tc>
      </w:tr>
      <w:tr w:rsidR="003C4D9A" w:rsidRPr="003C4D9A">
        <w:tc>
          <w:tcPr>
            <w:tcW w:w="170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Альтернатива 1</w:t>
            </w:r>
          </w:p>
        </w:tc>
        <w:tc>
          <w:tcPr>
            <w:tcW w:w="255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Держава: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Прямих </w:t>
            </w:r>
            <w:proofErr w:type="spellStart"/>
            <w:r w:rsidRPr="003C4D9A">
              <w:rPr>
                <w:rFonts w:ascii="Times New Roman" w:eastAsia="Times New Roman" w:hAnsi="Times New Roman" w:cs="Times New Roman"/>
                <w:color w:val="auto"/>
                <w:sz w:val="24"/>
                <w:szCs w:val="24"/>
                <w:lang w:val="uk-UA"/>
              </w:rPr>
              <w:t>вигод</w:t>
            </w:r>
            <w:proofErr w:type="spellEnd"/>
            <w:r w:rsidRPr="003C4D9A">
              <w:rPr>
                <w:rFonts w:ascii="Times New Roman" w:eastAsia="Times New Roman" w:hAnsi="Times New Roman" w:cs="Times New Roman"/>
                <w:color w:val="auto"/>
                <w:sz w:val="24"/>
                <w:szCs w:val="24"/>
                <w:lang w:val="uk-UA"/>
              </w:rPr>
              <w:t xml:space="preserve"> немає</w:t>
            </w:r>
          </w:p>
          <w:p w:rsidR="008E7D2F" w:rsidRPr="003C4D9A" w:rsidRDefault="008E7D2F" w:rsidP="00776251">
            <w:pPr>
              <w:spacing w:line="240" w:lineRule="auto"/>
              <w:contextualSpacing w:val="0"/>
              <w:rPr>
                <w:color w:val="auto"/>
                <w:lang w:val="uk-UA"/>
              </w:rPr>
            </w:pPr>
          </w:p>
          <w:p w:rsidR="00630920" w:rsidRPr="003C4D9A" w:rsidRDefault="00630920"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має</w:t>
            </w:r>
          </w:p>
        </w:tc>
        <w:tc>
          <w:tcPr>
            <w:tcW w:w="267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Держава:</w:t>
            </w:r>
          </w:p>
          <w:p w:rsidR="00630920" w:rsidRPr="003C4D9A" w:rsidRDefault="00D62AB7" w:rsidP="00776251">
            <w:pPr>
              <w:spacing w:line="240" w:lineRule="auto"/>
              <w:contextualSpacing w:val="0"/>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Додаткових прямих витрат немає</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Витрати в кількості 53 000 гривень, кожні 5 років. </w:t>
            </w:r>
          </w:p>
        </w:tc>
        <w:tc>
          <w:tcPr>
            <w:tcW w:w="273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Залишити без змін. У такому випадку, проблему не буде вирішено. Суб’єкти господарювання, які побудували та вводять в експлуатацію новий м’ясопереробний комбінат або нове м’ясопереробне підприємство знову стикнуться з проблемою, що їх нові об’єкти будуть прирівняні за ступенем екологічної небезпеки до атомної </w:t>
            </w:r>
            <w:r w:rsidRPr="003C4D9A">
              <w:rPr>
                <w:rFonts w:ascii="Times New Roman" w:eastAsia="Times New Roman" w:hAnsi="Times New Roman" w:cs="Times New Roman"/>
                <w:color w:val="auto"/>
                <w:sz w:val="24"/>
                <w:szCs w:val="24"/>
                <w:lang w:val="uk-UA"/>
              </w:rPr>
              <w:lastRenderedPageBreak/>
              <w:t xml:space="preserve">електростанції. Вони будуть зобов’язані пройти екологічну експертизу, згідно із Законом України «Про екологічну експертизу» та Постановою Кабінету Міністрів України №808 від 28.08.2013 р. Це є </w:t>
            </w:r>
            <w:r w:rsidR="00630920" w:rsidRPr="003C4D9A">
              <w:rPr>
                <w:rFonts w:ascii="Times New Roman" w:eastAsia="Times New Roman" w:hAnsi="Times New Roman" w:cs="Times New Roman"/>
                <w:color w:val="auto"/>
                <w:sz w:val="24"/>
                <w:szCs w:val="24"/>
                <w:lang w:val="uk-UA"/>
              </w:rPr>
              <w:t>необґрунтовано</w:t>
            </w:r>
            <w:r w:rsidRPr="003C4D9A">
              <w:rPr>
                <w:rFonts w:ascii="Times New Roman" w:eastAsia="Times New Roman" w:hAnsi="Times New Roman" w:cs="Times New Roman"/>
                <w:color w:val="auto"/>
                <w:sz w:val="24"/>
                <w:szCs w:val="24"/>
                <w:lang w:val="uk-UA"/>
              </w:rPr>
              <w:t xml:space="preserve"> надмірним адміністративним впливом. Окрім цього, не виключено факт корупційних ризиків на стадії отримання експертизи.</w:t>
            </w:r>
          </w:p>
        </w:tc>
      </w:tr>
      <w:tr w:rsidR="003C4D9A" w:rsidRPr="003C4D9A">
        <w:tc>
          <w:tcPr>
            <w:tcW w:w="170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Альтернатива 2</w:t>
            </w:r>
          </w:p>
        </w:tc>
        <w:tc>
          <w:tcPr>
            <w:tcW w:w="255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Держава: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Цим актом дерегуляції, держава зменшить адміністративне навантаження на бізнес. </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Заощадження близько 32 913 000 гривень через скасування вимоги проведення екологічної експертизи</w:t>
            </w:r>
          </w:p>
        </w:tc>
        <w:tc>
          <w:tcPr>
            <w:tcW w:w="267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Держава: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Загальні:</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Сума:</w:t>
            </w:r>
            <w:r w:rsidRPr="003C4D9A">
              <w:rPr>
                <w:rFonts w:ascii="Times New Roman" w:eastAsia="Times New Roman" w:hAnsi="Times New Roman" w:cs="Times New Roman"/>
                <w:color w:val="auto"/>
                <w:sz w:val="24"/>
                <w:szCs w:val="24"/>
                <w:lang w:val="uk-UA"/>
              </w:rPr>
              <w:t xml:space="preserve"> 0</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Громадяни: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p w:rsidR="008E7D2F" w:rsidRPr="003C4D9A" w:rsidRDefault="008E7D2F" w:rsidP="00776251">
            <w:pPr>
              <w:spacing w:line="240" w:lineRule="auto"/>
              <w:contextualSpacing w:val="0"/>
              <w:rPr>
                <w:color w:val="auto"/>
                <w:lang w:val="uk-UA"/>
              </w:rPr>
            </w:pP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Суб’єкти господарювання:</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Додаткових витрат не передбачається</w:t>
            </w:r>
          </w:p>
          <w:p w:rsidR="008E7D2F" w:rsidRPr="003C4D9A" w:rsidRDefault="008E7D2F" w:rsidP="00776251">
            <w:pPr>
              <w:spacing w:line="240" w:lineRule="auto"/>
              <w:contextualSpacing w:val="0"/>
              <w:rPr>
                <w:color w:val="auto"/>
                <w:lang w:val="uk-UA"/>
              </w:rPr>
            </w:pPr>
          </w:p>
        </w:tc>
        <w:tc>
          <w:tcPr>
            <w:tcW w:w="273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має низький рейтинг через утворення правової прогалини та виникнення ризику забруднення навколишнього середовища боєнськими відходами.</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Також такий підхід здатний призвести до надмірних витрат підприємств через штрафні санкції, пов'язані із порушеннями екологічного законодавства. </w:t>
            </w:r>
          </w:p>
        </w:tc>
      </w:tr>
    </w:tbl>
    <w:p w:rsidR="008E7D2F" w:rsidRPr="003C4D9A" w:rsidRDefault="008E7D2F" w:rsidP="00776251">
      <w:pPr>
        <w:spacing w:line="240" w:lineRule="auto"/>
        <w:rPr>
          <w:color w:val="auto"/>
          <w:lang w:val="uk-UA"/>
        </w:rPr>
      </w:pPr>
    </w:p>
    <w:tbl>
      <w:tblPr>
        <w:tblStyle w:val="9"/>
        <w:tblW w:w="96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3690"/>
        <w:gridCol w:w="4215"/>
      </w:tblGrid>
      <w:tr w:rsidR="003C4D9A" w:rsidRPr="003C4D9A">
        <w:tc>
          <w:tcPr>
            <w:tcW w:w="172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Рейтинг</w:t>
            </w:r>
          </w:p>
        </w:tc>
        <w:tc>
          <w:tcPr>
            <w:tcW w:w="36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Аргументи щодо переваги обраної альтернативи/причини відмови від альтернативи</w:t>
            </w:r>
          </w:p>
        </w:tc>
        <w:tc>
          <w:tcPr>
            <w:tcW w:w="421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Оцінка ризику зовнішніх чинників на дію запропонованого регуляторного акта</w:t>
            </w:r>
          </w:p>
        </w:tc>
      </w:tr>
      <w:tr w:rsidR="003C4D9A" w:rsidRPr="003C4D9A">
        <w:tc>
          <w:tcPr>
            <w:tcW w:w="172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3</w:t>
            </w:r>
          </w:p>
        </w:tc>
        <w:tc>
          <w:tcPr>
            <w:tcW w:w="36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Переваги обраної альтернативи полягають у виправленні некоректного застосування процедури екологічної експертизи до об’єктів, які не несуть підвищеної екологічної небезпеки. А саме, усувається підхід, коли на один рівень екологічної небезпеки ставляться атомна електростанція та м’ясопереробне підприємство.</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Додатково, перевагою даної альтернативи є запровадження </w:t>
            </w:r>
            <w:r w:rsidRPr="003C4D9A">
              <w:rPr>
                <w:rFonts w:ascii="Times New Roman" w:eastAsia="Times New Roman" w:hAnsi="Times New Roman" w:cs="Times New Roman"/>
                <w:color w:val="auto"/>
                <w:sz w:val="24"/>
                <w:szCs w:val="24"/>
                <w:lang w:val="uk-UA"/>
              </w:rPr>
              <w:lastRenderedPageBreak/>
              <w:t>кращої юридичної техніки.</w:t>
            </w:r>
          </w:p>
        </w:tc>
        <w:tc>
          <w:tcPr>
            <w:tcW w:w="421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Даний проект Постанови здатний покращити інвестиційний клімат в Україні та зменшити адміністративний тиск на бізнес</w:t>
            </w:r>
            <w:r w:rsidR="00A835CF" w:rsidRPr="003C4D9A">
              <w:rPr>
                <w:rFonts w:ascii="Times New Roman" w:eastAsia="Times New Roman" w:hAnsi="Times New Roman" w:cs="Times New Roman"/>
                <w:color w:val="auto"/>
                <w:sz w:val="24"/>
                <w:szCs w:val="24"/>
                <w:lang w:val="uk-UA"/>
              </w:rPr>
              <w:t>, зменшить небажану напругу у стосунках між державою та бізнесом</w:t>
            </w:r>
            <w:r w:rsidRPr="003C4D9A">
              <w:rPr>
                <w:rFonts w:ascii="Times New Roman" w:eastAsia="Times New Roman" w:hAnsi="Times New Roman" w:cs="Times New Roman"/>
                <w:color w:val="auto"/>
                <w:sz w:val="24"/>
                <w:szCs w:val="24"/>
                <w:lang w:val="uk-UA"/>
              </w:rPr>
              <w:t xml:space="preserve">. Передбачається покращення правозастосовної практики в Україні, в частині виведення з під обов’язку проходження екологічної експертизи, м’ясокомбінатів та м’ясопереробних підприємств, що не здійснюють безпосередньо на своїх потужностях </w:t>
            </w:r>
            <w:r w:rsidRPr="003C4D9A">
              <w:rPr>
                <w:rFonts w:ascii="Times New Roman" w:eastAsia="Times New Roman" w:hAnsi="Times New Roman" w:cs="Times New Roman"/>
                <w:color w:val="auto"/>
                <w:sz w:val="24"/>
                <w:szCs w:val="24"/>
                <w:lang w:val="uk-UA"/>
              </w:rPr>
              <w:lastRenderedPageBreak/>
              <w:t xml:space="preserve">забій тварин та птиці, </w:t>
            </w:r>
          </w:p>
        </w:tc>
      </w:tr>
      <w:tr w:rsidR="003C4D9A" w:rsidRPr="003C4D9A">
        <w:tc>
          <w:tcPr>
            <w:tcW w:w="172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Альтернатива 1</w:t>
            </w:r>
          </w:p>
        </w:tc>
        <w:tc>
          <w:tcPr>
            <w:tcW w:w="36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Дана пропозиція не має переваг та зберігає чинне некоректне регулювання, що є причиною відмови від Альтернативи.</w:t>
            </w:r>
          </w:p>
        </w:tc>
        <w:tc>
          <w:tcPr>
            <w:tcW w:w="421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Залишивши без змін діюче регулювання, держава збереже неналежно застосовуване регулювання щодо вимоги проходження екологічної експертизи.</w:t>
            </w:r>
            <w:r w:rsidR="00DF7605" w:rsidRPr="003C4D9A">
              <w:rPr>
                <w:rFonts w:ascii="Times New Roman" w:eastAsia="Times New Roman" w:hAnsi="Times New Roman" w:cs="Times New Roman"/>
                <w:color w:val="auto"/>
                <w:sz w:val="24"/>
                <w:szCs w:val="24"/>
                <w:lang w:val="en-US"/>
              </w:rPr>
              <w:t xml:space="preserve"> </w:t>
            </w:r>
            <w:r w:rsidR="00DF7605" w:rsidRPr="003C4D9A">
              <w:rPr>
                <w:rFonts w:ascii="Times New Roman" w:eastAsia="Times New Roman" w:hAnsi="Times New Roman" w:cs="Times New Roman"/>
                <w:color w:val="auto"/>
                <w:sz w:val="24"/>
                <w:szCs w:val="24"/>
                <w:lang w:val="uk-UA"/>
              </w:rPr>
              <w:t xml:space="preserve">М’ясокомбінати та м’ясопереробні підприємства будуть зобов’язані проходити державну екологічну експертизу, а ті суб’єкти, що мають вищий екологічний ризик залишаться поза регулюванням. </w:t>
            </w:r>
            <w:r w:rsidRPr="003C4D9A">
              <w:rPr>
                <w:rFonts w:ascii="Times New Roman" w:eastAsia="Times New Roman" w:hAnsi="Times New Roman" w:cs="Times New Roman"/>
                <w:color w:val="auto"/>
                <w:sz w:val="24"/>
                <w:szCs w:val="24"/>
                <w:lang w:val="uk-UA"/>
              </w:rPr>
              <w:t xml:space="preserve"> </w:t>
            </w:r>
          </w:p>
        </w:tc>
      </w:tr>
      <w:tr w:rsidR="003C4D9A" w:rsidRPr="003C4D9A">
        <w:tc>
          <w:tcPr>
            <w:tcW w:w="172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Альтернатива 2</w:t>
            </w:r>
          </w:p>
        </w:tc>
        <w:tc>
          <w:tcPr>
            <w:tcW w:w="3690"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Відмова від Альтернативи 2 обумовлена надмірними ризиками від можливого погіршення екологічної ситуації, що значно перевищують можливі вигоди від дерегуляції та певного поліпшення бізнес-клімату.</w:t>
            </w:r>
          </w:p>
        </w:tc>
        <w:tc>
          <w:tcPr>
            <w:tcW w:w="4215" w:type="dxa"/>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Ризики застосування Альтернативи 2 можуть виникнути в сфері невідповідності правового поля України </w:t>
            </w:r>
            <w:r w:rsidR="00DF7605" w:rsidRPr="003C4D9A">
              <w:rPr>
                <w:rFonts w:ascii="Times New Roman" w:eastAsia="Times New Roman" w:hAnsi="Times New Roman" w:cs="Times New Roman"/>
                <w:color w:val="auto"/>
                <w:sz w:val="24"/>
                <w:szCs w:val="24"/>
                <w:lang w:val="uk-UA"/>
              </w:rPr>
              <w:t>базовим вимогам екологічної безпеки, передбаченого законодавством ЄС.</w:t>
            </w:r>
            <w:r w:rsidRPr="003C4D9A">
              <w:rPr>
                <w:rFonts w:ascii="Times New Roman" w:eastAsia="Times New Roman" w:hAnsi="Times New Roman" w:cs="Times New Roman"/>
                <w:color w:val="auto"/>
                <w:sz w:val="24"/>
                <w:szCs w:val="24"/>
                <w:lang w:val="uk-UA"/>
              </w:rPr>
              <w:t xml:space="preserve">   </w:t>
            </w:r>
          </w:p>
        </w:tc>
      </w:tr>
    </w:tbl>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V. Механізми та заходи, які забезпечать розв’язання визначеної проблеми</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b/>
          <w:color w:val="auto"/>
          <w:sz w:val="24"/>
          <w:szCs w:val="24"/>
          <w:lang w:val="uk-UA"/>
        </w:rPr>
        <w:t xml:space="preserve">Запропоновані механізми регуляторного акта, за допомогою яких можна розв’язати проблему: </w:t>
      </w:r>
    </w:p>
    <w:p w:rsidR="008E7D2F" w:rsidRPr="003C4D9A" w:rsidRDefault="00D62AB7" w:rsidP="00776251">
      <w:pPr>
        <w:spacing w:after="140" w:line="240" w:lineRule="auto"/>
        <w:jc w:val="both"/>
        <w:rPr>
          <w:color w:val="auto"/>
          <w:lang w:val="en-US"/>
        </w:rPr>
      </w:pPr>
      <w:r w:rsidRPr="003C4D9A">
        <w:rPr>
          <w:rFonts w:ascii="Times New Roman" w:eastAsia="Times New Roman" w:hAnsi="Times New Roman" w:cs="Times New Roman"/>
          <w:color w:val="auto"/>
          <w:sz w:val="24"/>
          <w:szCs w:val="24"/>
          <w:lang w:val="uk-UA"/>
        </w:rPr>
        <w:t xml:space="preserve">Проблема некоректного застосування процедури екологічної експертизи для м’ясокомбінатів та м’ясопереробних підприємств, які не є об’єктами </w:t>
      </w:r>
      <w:r w:rsidR="00630920" w:rsidRPr="003C4D9A">
        <w:rPr>
          <w:rFonts w:ascii="Times New Roman" w:eastAsia="Times New Roman" w:hAnsi="Times New Roman" w:cs="Times New Roman"/>
          <w:color w:val="auto"/>
          <w:sz w:val="24"/>
          <w:szCs w:val="24"/>
          <w:lang w:val="uk-UA"/>
        </w:rPr>
        <w:t>підвищеної</w:t>
      </w:r>
      <w:r w:rsidRPr="003C4D9A">
        <w:rPr>
          <w:rFonts w:ascii="Times New Roman" w:eastAsia="Times New Roman" w:hAnsi="Times New Roman" w:cs="Times New Roman"/>
          <w:color w:val="auto"/>
          <w:sz w:val="24"/>
          <w:szCs w:val="24"/>
          <w:lang w:val="uk-UA"/>
        </w:rPr>
        <w:t xml:space="preserve"> екологічної небезпеки буде розв’язана шляхом внесення змін до Постанови №808, передбачен</w:t>
      </w:r>
      <w:r w:rsidR="00630920" w:rsidRPr="003C4D9A">
        <w:rPr>
          <w:rFonts w:ascii="Times New Roman" w:eastAsia="Times New Roman" w:hAnsi="Times New Roman" w:cs="Times New Roman"/>
          <w:color w:val="auto"/>
          <w:sz w:val="24"/>
          <w:szCs w:val="24"/>
          <w:lang w:val="uk-UA"/>
        </w:rPr>
        <w:t xml:space="preserve">их пропонованим проектом </w:t>
      </w:r>
      <w:r w:rsidR="00EA354E" w:rsidRPr="003C4D9A">
        <w:rPr>
          <w:rFonts w:ascii="Times New Roman" w:eastAsia="Times New Roman" w:hAnsi="Times New Roman" w:cs="Times New Roman"/>
          <w:color w:val="auto"/>
          <w:sz w:val="24"/>
          <w:szCs w:val="24"/>
          <w:lang w:val="uk-UA"/>
        </w:rPr>
        <w:t xml:space="preserve">тим, що суб’єкти господарювання, що не несуть підвищених екологічних ризиків будуть виведені з під дії вимог регулювання, а ті оператори, що несуть високі екологічні ризики підпадатимуть під вимоги регулювання. </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Для реалізації змін регулювання необхідно буде вжити наступних заходів:</w:t>
      </w:r>
    </w:p>
    <w:p w:rsidR="008E7D2F" w:rsidRPr="003C4D9A" w:rsidRDefault="00D62AB7" w:rsidP="00776251">
      <w:pPr>
        <w:numPr>
          <w:ilvl w:val="0"/>
          <w:numId w:val="1"/>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 xml:space="preserve">органам виконавчої влади  забезпечити прийняття та впровадження зміненого регулювання, для цього привести нормативну базу здійснення екологічної експертизи у відповідність із пропонованими змінами до Постанови №808. </w:t>
      </w:r>
    </w:p>
    <w:p w:rsidR="008E7D2F" w:rsidRPr="003C4D9A" w:rsidRDefault="00D62AB7" w:rsidP="00776251">
      <w:pPr>
        <w:numPr>
          <w:ilvl w:val="0"/>
          <w:numId w:val="1"/>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суб'єктам господарської діяльності</w:t>
      </w:r>
      <w:r w:rsidR="00EA354E" w:rsidRPr="003C4D9A">
        <w:rPr>
          <w:rFonts w:ascii="Times New Roman" w:eastAsia="Times New Roman" w:hAnsi="Times New Roman" w:cs="Times New Roman"/>
          <w:color w:val="auto"/>
          <w:sz w:val="24"/>
          <w:szCs w:val="24"/>
          <w:lang w:val="uk-UA"/>
        </w:rPr>
        <w:t>, що будуть виведені з під дії регулювання,</w:t>
      </w:r>
      <w:r w:rsidRPr="003C4D9A">
        <w:rPr>
          <w:rFonts w:ascii="Times New Roman" w:eastAsia="Times New Roman" w:hAnsi="Times New Roman" w:cs="Times New Roman"/>
          <w:color w:val="auto"/>
          <w:sz w:val="24"/>
          <w:szCs w:val="24"/>
          <w:lang w:val="uk-UA"/>
        </w:rPr>
        <w:t xml:space="preserve"> необхідно буде ознайомитись із зміненими вимогами та </w:t>
      </w:r>
      <w:r w:rsidR="00DF7605" w:rsidRPr="003C4D9A">
        <w:rPr>
          <w:rFonts w:ascii="Times New Roman" w:eastAsia="Times New Roman" w:hAnsi="Times New Roman" w:cs="Times New Roman"/>
          <w:color w:val="auto"/>
          <w:sz w:val="24"/>
          <w:szCs w:val="24"/>
          <w:lang w:val="uk-UA"/>
        </w:rPr>
        <w:t>ввести</w:t>
      </w:r>
      <w:r w:rsidRPr="003C4D9A">
        <w:rPr>
          <w:rFonts w:ascii="Times New Roman" w:eastAsia="Times New Roman" w:hAnsi="Times New Roman" w:cs="Times New Roman"/>
          <w:color w:val="auto"/>
          <w:sz w:val="24"/>
          <w:szCs w:val="24"/>
          <w:lang w:val="uk-UA"/>
        </w:rPr>
        <w:t xml:space="preserve"> відповідні корективи у здійснення внутрішніх процедур</w:t>
      </w:r>
      <w:r w:rsidR="00EA354E" w:rsidRPr="003C4D9A">
        <w:rPr>
          <w:rFonts w:ascii="Times New Roman" w:eastAsia="Times New Roman" w:hAnsi="Times New Roman" w:cs="Times New Roman"/>
          <w:color w:val="auto"/>
          <w:sz w:val="24"/>
          <w:szCs w:val="24"/>
          <w:lang w:val="uk-UA"/>
        </w:rPr>
        <w:t xml:space="preserve">. </w:t>
      </w:r>
    </w:p>
    <w:p w:rsidR="00EA354E" w:rsidRPr="003C4D9A" w:rsidRDefault="00EA354E" w:rsidP="00776251">
      <w:pPr>
        <w:numPr>
          <w:ilvl w:val="0"/>
          <w:numId w:val="1"/>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 xml:space="preserve">суб'єктам господарської діяльності, що будуть введені під дію регулювання, треба буде ознайомитись та виконати дії, направлені на проходження державної екологічної експертизи. </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b/>
          <w:color w:val="auto"/>
          <w:sz w:val="24"/>
          <w:szCs w:val="24"/>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E7D2F" w:rsidRPr="003C4D9A" w:rsidRDefault="00D62AB7" w:rsidP="00776251">
      <w:pPr>
        <w:spacing w:after="140" w:line="240" w:lineRule="auto"/>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Виконання пропонованого проекту Постанови не вимагає від органів влади додаткових витрат на виконання змінених регуляторних процедур. Рівень витрат, який будуть нести суб`єкти господарювання внаслідок застосування змін в регулюванні наведений відповідно додатків 2,3,4  до Методики проведення аналізу впливу регуляторного акта.</w:t>
      </w:r>
      <w:r w:rsidR="00EA354E" w:rsidRPr="003C4D9A">
        <w:rPr>
          <w:rFonts w:ascii="Times New Roman" w:eastAsia="Times New Roman" w:hAnsi="Times New Roman" w:cs="Times New Roman"/>
          <w:color w:val="auto"/>
          <w:sz w:val="24"/>
          <w:szCs w:val="24"/>
          <w:lang w:val="uk-UA"/>
        </w:rPr>
        <w:t xml:space="preserve"> </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b/>
          <w:color w:val="auto"/>
          <w:sz w:val="24"/>
          <w:szCs w:val="24"/>
          <w:lang w:val="uk-UA"/>
        </w:rPr>
        <w:t>VII. Обґрунтування запропонованого строку дії регуляторного акта</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 xml:space="preserve">Враховуючи потребу у здійсненні державного регулювання у сфері екологічної безпеки, зміни </w:t>
      </w:r>
      <w:r w:rsidRPr="003C4D9A">
        <w:rPr>
          <w:rFonts w:ascii="Times New Roman" w:eastAsia="Times New Roman" w:hAnsi="Times New Roman" w:cs="Times New Roman"/>
          <w:color w:val="auto"/>
          <w:sz w:val="24"/>
          <w:szCs w:val="24"/>
          <w:lang w:val="uk-UA"/>
        </w:rPr>
        <w:lastRenderedPageBreak/>
        <w:t>до Постанови №808 запроваджуються на необмежений термін.</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Зміна строку дії Постанови можлива в разі зміни міжнародно-правових актів, рекомендацій відповідних міжнародних організацій чи законодавчих актів України вищої юридичної сили, на виконання яких вона розроблена.</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Термін набрання чинності регуляторним актом – відповідно до законодавства після його офіційного оприлюднення.</w:t>
      </w:r>
    </w:p>
    <w:p w:rsidR="008E7D2F" w:rsidRPr="003C4D9A" w:rsidRDefault="008E7D2F" w:rsidP="00776251">
      <w:pPr>
        <w:spacing w:line="240" w:lineRule="auto"/>
        <w:jc w:val="both"/>
        <w:rPr>
          <w:color w:val="auto"/>
          <w:lang w:val="uk-UA"/>
        </w:rPr>
      </w:pP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b/>
          <w:color w:val="auto"/>
          <w:sz w:val="24"/>
          <w:szCs w:val="24"/>
          <w:lang w:val="uk-UA"/>
        </w:rPr>
        <w:t>VIII. Визначення показників результативності дії регуляторного акта</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Прогнозні значення показників результативності проекту Постанови будуть встановлюватися після набрання ним чинності.</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Прогнозними значеннями показників результативності проекту Постанови є:</w:t>
      </w:r>
    </w:p>
    <w:p w:rsidR="008E7D2F" w:rsidRPr="003C4D9A" w:rsidRDefault="00D62AB7" w:rsidP="00776251">
      <w:pPr>
        <w:numPr>
          <w:ilvl w:val="0"/>
          <w:numId w:val="2"/>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Зменшення кількості  м’ясокомбінатів та м’ясопереробних підприємств, яким необхідно буде здійснювати екологічну експертизу.</w:t>
      </w:r>
    </w:p>
    <w:p w:rsidR="008E7D2F" w:rsidRPr="003C4D9A" w:rsidRDefault="00D62AB7" w:rsidP="00776251">
      <w:pPr>
        <w:numPr>
          <w:ilvl w:val="0"/>
          <w:numId w:val="2"/>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Рівень поінформованості суб’єктів господарювання про положення регуляторного акта – середній, завдяки повідомленню про оприлюднення, розміщенню проекту Постанови на офіційному веб-сайті Мінекономіки та Державної регуляторної служби.</w:t>
      </w:r>
    </w:p>
    <w:p w:rsidR="00CC603C" w:rsidRPr="003C4D9A" w:rsidRDefault="00CC603C" w:rsidP="00776251">
      <w:pPr>
        <w:numPr>
          <w:ilvl w:val="0"/>
          <w:numId w:val="2"/>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 xml:space="preserve">Збільшення кількості суб’єктів господарювання, що здійснюють забій, що пройшли державну екологічну експертизу. </w:t>
      </w:r>
    </w:p>
    <w:p w:rsidR="008E7D2F" w:rsidRPr="003C4D9A" w:rsidRDefault="00D62AB7" w:rsidP="00776251">
      <w:pPr>
        <w:numPr>
          <w:ilvl w:val="0"/>
          <w:numId w:val="2"/>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Час, що необхідно буде витратити суб’єктам господарювання - одноразово орієнтовно 2 години для відповідальних працівників на ознайомлення із змінами до Постанови №808, а також для коригування внутрішніх процедур документообігу. Час витрачений в даному випадку має обліковуватись в межах норм часу, що витрачається на виконання безпосередніх фахових обов’язків.</w:t>
      </w:r>
    </w:p>
    <w:p w:rsidR="00CC603C" w:rsidRPr="003C4D9A" w:rsidRDefault="00CC603C" w:rsidP="00776251">
      <w:pPr>
        <w:numPr>
          <w:ilvl w:val="0"/>
          <w:numId w:val="2"/>
        </w:numPr>
        <w:spacing w:after="140" w:line="240" w:lineRule="auto"/>
        <w:ind w:hanging="360"/>
        <w:contextualSpacing/>
        <w:jc w:val="both"/>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 xml:space="preserve">Зменшення кількості конфліктних ситуацій пов’язаних з виявленням безгосподарних звалищ побічних продуктів тваринного походження, не придатного для споживання людиною.  </w:t>
      </w:r>
    </w:p>
    <w:p w:rsidR="00CC603C" w:rsidRPr="003C4D9A" w:rsidRDefault="00CC603C" w:rsidP="00CC603C">
      <w:pPr>
        <w:spacing w:after="140" w:line="240" w:lineRule="auto"/>
        <w:ind w:left="720"/>
        <w:contextualSpacing/>
        <w:jc w:val="both"/>
        <w:rPr>
          <w:rFonts w:ascii="Times New Roman" w:eastAsia="Times New Roman" w:hAnsi="Times New Roman" w:cs="Times New Roman"/>
          <w:color w:val="auto"/>
          <w:sz w:val="24"/>
          <w:szCs w:val="24"/>
          <w:lang w:val="uk-UA"/>
        </w:rPr>
      </w:pP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b/>
          <w:color w:val="auto"/>
          <w:sz w:val="24"/>
          <w:szCs w:val="24"/>
          <w:lang w:val="uk-UA"/>
        </w:rPr>
        <w:t>IX. Визначення заходів, за допомогою яких здійснюватиметься відстеження результативності дії регуляторного акта</w:t>
      </w:r>
    </w:p>
    <w:p w:rsidR="008E7D2F" w:rsidRPr="003C4D9A" w:rsidRDefault="008E7D2F" w:rsidP="00776251">
      <w:pPr>
        <w:spacing w:line="240" w:lineRule="auto"/>
        <w:jc w:val="both"/>
        <w:rPr>
          <w:color w:val="auto"/>
          <w:lang w:val="uk-UA"/>
        </w:rPr>
      </w:pP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Відстеження результативності регуляторного акта буде здійснюватися Мінприроди та Мінекономіки.</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Базове відстеження результативності зазначеного регуляторного акта здійснюватися до набрання ним чинності шляхом збору пропозицій і зауважень та їх аналізу.</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Повторне відстеження результативності буде здійснене через рік після набрання ним чинності шляхом аналізу статистичних  даних.</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Періодичне відстеження результативності буде здійснюватися шляхом аналізу статистичних даних щорічно, починаючи з дня закінчення заходів з повторного відстеження результатів виконання зміненої редакції Постанови №808.</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Метод проведення відстеження результативності – статистичний.</w:t>
      </w:r>
    </w:p>
    <w:p w:rsidR="008E7D2F" w:rsidRPr="003C4D9A" w:rsidRDefault="00D62AB7" w:rsidP="00776251">
      <w:pPr>
        <w:spacing w:after="140" w:line="240" w:lineRule="auto"/>
        <w:jc w:val="both"/>
        <w:rPr>
          <w:color w:val="auto"/>
          <w:lang w:val="uk-UA"/>
        </w:rPr>
      </w:pPr>
      <w:r w:rsidRPr="003C4D9A">
        <w:rPr>
          <w:rFonts w:ascii="Times New Roman" w:eastAsia="Times New Roman" w:hAnsi="Times New Roman" w:cs="Times New Roman"/>
          <w:color w:val="auto"/>
          <w:sz w:val="24"/>
          <w:szCs w:val="24"/>
          <w:lang w:val="uk-UA"/>
        </w:rPr>
        <w:t>Вид даних, за допомогою яких здійснюватиметься відстеження результативності – статистичні.</w:t>
      </w:r>
    </w:p>
    <w:p w:rsidR="008E7D2F" w:rsidRPr="003C4D9A" w:rsidRDefault="008E7D2F" w:rsidP="00776251">
      <w:pPr>
        <w:spacing w:after="140" w:line="240" w:lineRule="auto"/>
        <w:rPr>
          <w:color w:val="auto"/>
          <w:lang w:val="uk-UA"/>
        </w:rPr>
      </w:pPr>
    </w:p>
    <w:p w:rsidR="008E7D2F" w:rsidRPr="003C4D9A" w:rsidRDefault="008E7D2F" w:rsidP="00776251">
      <w:pPr>
        <w:spacing w:after="140" w:line="240" w:lineRule="auto"/>
        <w:rPr>
          <w:color w:val="auto"/>
          <w:lang w:val="uk-UA"/>
        </w:rPr>
      </w:pPr>
    </w:p>
    <w:p w:rsidR="008E7D2F" w:rsidRPr="003C4D9A" w:rsidRDefault="00CC603C" w:rsidP="00CC603C">
      <w:pPr>
        <w:spacing w:line="240" w:lineRule="auto"/>
        <w:rPr>
          <w:color w:val="auto"/>
          <w:lang w:val="uk-UA"/>
        </w:rPr>
      </w:pPr>
      <w:r w:rsidRPr="003C4D9A">
        <w:rPr>
          <w:color w:val="auto"/>
          <w:lang w:val="uk-UA"/>
        </w:rPr>
        <w:br w:type="page"/>
      </w:r>
    </w:p>
    <w:p w:rsidR="008E7D2F" w:rsidRPr="003C4D9A" w:rsidRDefault="00D62AB7" w:rsidP="00776251">
      <w:pPr>
        <w:spacing w:after="140" w:line="240" w:lineRule="auto"/>
        <w:ind w:firstLine="3963"/>
        <w:jc w:val="center"/>
        <w:rPr>
          <w:color w:val="auto"/>
          <w:lang w:val="uk-UA"/>
        </w:rPr>
      </w:pPr>
      <w:r w:rsidRPr="003C4D9A">
        <w:rPr>
          <w:rFonts w:ascii="Times New Roman" w:eastAsia="Times New Roman" w:hAnsi="Times New Roman" w:cs="Times New Roman"/>
          <w:color w:val="auto"/>
          <w:sz w:val="24"/>
          <w:szCs w:val="24"/>
          <w:lang w:val="uk-UA"/>
        </w:rPr>
        <w:lastRenderedPageBreak/>
        <w:t>Згідно з Додатком 4</w:t>
      </w:r>
    </w:p>
    <w:p w:rsidR="008E7D2F" w:rsidRPr="003C4D9A" w:rsidRDefault="00D62AB7" w:rsidP="00776251">
      <w:pPr>
        <w:spacing w:after="140" w:line="240" w:lineRule="auto"/>
        <w:ind w:firstLine="3963"/>
        <w:jc w:val="center"/>
        <w:rPr>
          <w:color w:val="auto"/>
          <w:lang w:val="uk-UA"/>
        </w:rPr>
      </w:pPr>
      <w:r w:rsidRPr="003C4D9A">
        <w:rPr>
          <w:rFonts w:ascii="Times New Roman" w:eastAsia="Times New Roman" w:hAnsi="Times New Roman" w:cs="Times New Roman"/>
          <w:color w:val="auto"/>
          <w:sz w:val="24"/>
          <w:szCs w:val="24"/>
          <w:lang w:val="uk-UA"/>
        </w:rPr>
        <w:t>до Методики проведення аналізу впливу</w:t>
      </w:r>
    </w:p>
    <w:p w:rsidR="008E7D2F" w:rsidRPr="003C4D9A" w:rsidRDefault="00D62AB7" w:rsidP="00776251">
      <w:pPr>
        <w:spacing w:after="140" w:line="240" w:lineRule="auto"/>
        <w:ind w:firstLine="3950"/>
        <w:jc w:val="center"/>
        <w:rPr>
          <w:color w:val="auto"/>
          <w:lang w:val="uk-UA"/>
        </w:rPr>
      </w:pPr>
      <w:r w:rsidRPr="003C4D9A">
        <w:rPr>
          <w:rFonts w:ascii="Times New Roman" w:eastAsia="Times New Roman" w:hAnsi="Times New Roman" w:cs="Times New Roman"/>
          <w:color w:val="auto"/>
          <w:sz w:val="24"/>
          <w:szCs w:val="24"/>
          <w:lang w:val="uk-UA"/>
        </w:rPr>
        <w:t>регуляторного акта</w:t>
      </w:r>
    </w:p>
    <w:p w:rsidR="008E7D2F" w:rsidRPr="003C4D9A" w:rsidRDefault="008E7D2F" w:rsidP="00776251">
      <w:pPr>
        <w:spacing w:after="140" w:line="240" w:lineRule="auto"/>
        <w:ind w:firstLine="3950"/>
        <w:jc w:val="center"/>
        <w:rPr>
          <w:color w:val="auto"/>
          <w:lang w:val="uk-UA"/>
        </w:rPr>
      </w:pPr>
    </w:p>
    <w:p w:rsidR="008E7D2F" w:rsidRPr="003C4D9A" w:rsidRDefault="00D62AB7" w:rsidP="00776251">
      <w:pPr>
        <w:spacing w:before="160"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ТЕСТ</w:t>
      </w:r>
    </w:p>
    <w:p w:rsidR="008E7D2F" w:rsidRPr="003C4D9A" w:rsidRDefault="00D62AB7" w:rsidP="00776251">
      <w:pPr>
        <w:spacing w:before="160"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малого підприємництва (М-Тест)</w:t>
      </w:r>
    </w:p>
    <w:p w:rsidR="008E7D2F" w:rsidRPr="003C4D9A" w:rsidRDefault="00D62AB7" w:rsidP="00776251">
      <w:pPr>
        <w:spacing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1. Консультації з представниками мікро- та малого підприємництва щодо оцінки впливу регулювання</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грудня 2016 р. по січень 2017 р. </w:t>
      </w:r>
    </w:p>
    <w:tbl>
      <w:tblPr>
        <w:tblStyle w:val="8"/>
        <w:tblW w:w="9638" w:type="dxa"/>
        <w:tblInd w:w="-110" w:type="dxa"/>
        <w:tblLayout w:type="fixed"/>
        <w:tblLook w:val="0400" w:firstRow="0" w:lastRow="0" w:firstColumn="0" w:lastColumn="0" w:noHBand="0" w:noVBand="1"/>
      </w:tblPr>
      <w:tblGrid>
        <w:gridCol w:w="600"/>
        <w:gridCol w:w="4359"/>
        <w:gridCol w:w="1701"/>
        <w:gridCol w:w="2978"/>
      </w:tblGrid>
      <w:tr w:rsidR="003C4D9A" w:rsidRPr="003C4D9A">
        <w:tc>
          <w:tcPr>
            <w:tcW w:w="600"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b/>
                <w:color w:val="auto"/>
                <w:sz w:val="24"/>
                <w:szCs w:val="24"/>
                <w:lang w:val="uk-UA"/>
              </w:rPr>
              <w:t>№</w:t>
            </w:r>
          </w:p>
        </w:tc>
        <w:tc>
          <w:tcPr>
            <w:tcW w:w="4359"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Кількість учасників консультацій, осіб</w:t>
            </w:r>
          </w:p>
        </w:tc>
        <w:tc>
          <w:tcPr>
            <w:tcW w:w="29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Основні результати консультацій (опис)</w:t>
            </w:r>
          </w:p>
        </w:tc>
      </w:tr>
      <w:tr w:rsidR="003C4D9A" w:rsidRPr="003C4D9A">
        <w:tc>
          <w:tcPr>
            <w:tcW w:w="600"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4359"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Запити до підприємців</w:t>
            </w:r>
          </w:p>
        </w:tc>
        <w:tc>
          <w:tcPr>
            <w:tcW w:w="1701"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25</w:t>
            </w:r>
          </w:p>
        </w:tc>
        <w:tc>
          <w:tcPr>
            <w:tcW w:w="2978"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Представники опитаних підприємств дуже позитивно відреагували на запропоновані зміни до діючої Постанови №808 та в цілому підтримали її. При цьому, представники суб’єктів господарювання висловлювали думки про розширення своїх бізнесів та побудові нових потужностей з переробки м’яса.</w:t>
            </w:r>
            <w:r w:rsidR="00CC603C" w:rsidRPr="003C4D9A">
              <w:rPr>
                <w:rFonts w:ascii="Times New Roman" w:eastAsia="Times New Roman" w:hAnsi="Times New Roman" w:cs="Times New Roman"/>
                <w:color w:val="auto"/>
                <w:sz w:val="24"/>
                <w:szCs w:val="24"/>
                <w:lang w:val="uk-UA"/>
              </w:rPr>
              <w:t xml:space="preserve"> Додатково зазначаємо, що в результаті взаємодії з підприємцями, було отримано пропозицію, щодо проходження державної екологічної експертизи всіма суб’єктами, що здійснюють забій тварин та/або птиці.</w:t>
            </w:r>
            <w:r w:rsidR="00CC603C" w:rsidRPr="003C4D9A">
              <w:rPr>
                <w:color w:val="auto"/>
                <w:lang w:val="uk-UA"/>
              </w:rPr>
              <w:t xml:space="preserve"> </w:t>
            </w:r>
          </w:p>
        </w:tc>
      </w:tr>
    </w:tbl>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 </w:t>
      </w:r>
    </w:p>
    <w:p w:rsidR="008E7D2F" w:rsidRPr="003C4D9A" w:rsidRDefault="00D62AB7" w:rsidP="00776251">
      <w:pPr>
        <w:spacing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2. Вимірювання впливу регулювання на суб’єктів малого підприємництва (мікро- та малі):</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 xml:space="preserve">кількість суб’єктів малого підприємництва, на яких поширюється регулювання: </w:t>
      </w:r>
      <w:r w:rsidR="00975A7B" w:rsidRPr="003C4D9A">
        <w:rPr>
          <w:rFonts w:ascii="Times New Roman" w:eastAsia="Times New Roman" w:hAnsi="Times New Roman" w:cs="Times New Roman"/>
          <w:b/>
          <w:color w:val="auto"/>
          <w:sz w:val="24"/>
          <w:szCs w:val="24"/>
          <w:lang w:val="uk-UA"/>
        </w:rPr>
        <w:t xml:space="preserve">676 </w:t>
      </w:r>
      <w:r w:rsidRPr="003C4D9A">
        <w:rPr>
          <w:rFonts w:ascii="Times New Roman" w:eastAsia="Times New Roman" w:hAnsi="Times New Roman" w:cs="Times New Roman"/>
          <w:color w:val="auto"/>
          <w:sz w:val="24"/>
          <w:szCs w:val="24"/>
          <w:lang w:val="uk-UA"/>
        </w:rPr>
        <w:t xml:space="preserve">(одиниць), у тому числі малого підприємництва </w:t>
      </w:r>
      <w:r w:rsidRPr="003C4D9A">
        <w:rPr>
          <w:rFonts w:ascii="Times New Roman" w:eastAsia="Times New Roman" w:hAnsi="Times New Roman" w:cs="Times New Roman"/>
          <w:b/>
          <w:color w:val="auto"/>
          <w:sz w:val="24"/>
          <w:szCs w:val="24"/>
          <w:lang w:val="uk-UA"/>
        </w:rPr>
        <w:t>107</w:t>
      </w:r>
      <w:r w:rsidRPr="003C4D9A">
        <w:rPr>
          <w:rFonts w:ascii="Times New Roman" w:eastAsia="Times New Roman" w:hAnsi="Times New Roman" w:cs="Times New Roman"/>
          <w:color w:val="auto"/>
          <w:sz w:val="24"/>
          <w:szCs w:val="24"/>
          <w:lang w:val="uk-UA"/>
        </w:rPr>
        <w:t xml:space="preserve"> (одиниць) та </w:t>
      </w:r>
      <w:proofErr w:type="spellStart"/>
      <w:r w:rsidRPr="003C4D9A">
        <w:rPr>
          <w:rFonts w:ascii="Times New Roman" w:eastAsia="Times New Roman" w:hAnsi="Times New Roman" w:cs="Times New Roman"/>
          <w:color w:val="auto"/>
          <w:sz w:val="24"/>
          <w:szCs w:val="24"/>
          <w:lang w:val="uk-UA"/>
        </w:rPr>
        <w:t>мікропідприємництва</w:t>
      </w:r>
      <w:proofErr w:type="spellEnd"/>
      <w:r w:rsidRPr="003C4D9A">
        <w:rPr>
          <w:rFonts w:ascii="Times New Roman" w:eastAsia="Times New Roman" w:hAnsi="Times New Roman" w:cs="Times New Roman"/>
          <w:color w:val="auto"/>
          <w:sz w:val="24"/>
          <w:szCs w:val="24"/>
          <w:lang w:val="uk-UA"/>
        </w:rPr>
        <w:t xml:space="preserve"> </w:t>
      </w:r>
      <w:r w:rsidR="00975A7B" w:rsidRPr="003C4D9A">
        <w:rPr>
          <w:rFonts w:ascii="Times New Roman" w:eastAsia="Times New Roman" w:hAnsi="Times New Roman" w:cs="Times New Roman"/>
          <w:b/>
          <w:color w:val="auto"/>
          <w:sz w:val="24"/>
          <w:szCs w:val="24"/>
          <w:lang w:val="uk-UA"/>
        </w:rPr>
        <w:t>569</w:t>
      </w:r>
      <w:r w:rsidRPr="003C4D9A">
        <w:rPr>
          <w:rFonts w:ascii="Times New Roman" w:eastAsia="Times New Roman" w:hAnsi="Times New Roman" w:cs="Times New Roman"/>
          <w:color w:val="auto"/>
          <w:sz w:val="24"/>
          <w:szCs w:val="24"/>
          <w:lang w:val="uk-UA"/>
        </w:rPr>
        <w:t xml:space="preserve"> (одиниць);</w:t>
      </w:r>
    </w:p>
    <w:p w:rsidR="008E7D2F" w:rsidRPr="003C4D9A" w:rsidRDefault="00D62AB7" w:rsidP="00776251">
      <w:pPr>
        <w:spacing w:after="160"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lastRenderedPageBreak/>
        <w:t xml:space="preserve">питома вага суб’єктів малого підприємництва у загальній кількості суб’єктів господарювання, на яких проблема справляє вплив </w:t>
      </w:r>
      <w:r w:rsidRPr="003C4D9A">
        <w:rPr>
          <w:rFonts w:ascii="Times New Roman" w:eastAsia="Times New Roman" w:hAnsi="Times New Roman" w:cs="Times New Roman"/>
          <w:b/>
          <w:color w:val="auto"/>
          <w:sz w:val="24"/>
          <w:szCs w:val="24"/>
          <w:lang w:val="uk-UA"/>
        </w:rPr>
        <w:t>89.37</w:t>
      </w:r>
      <w:r w:rsidRPr="003C4D9A">
        <w:rPr>
          <w:rFonts w:ascii="Times New Roman" w:eastAsia="Times New Roman" w:hAnsi="Times New Roman" w:cs="Times New Roman"/>
          <w:color w:val="auto"/>
          <w:sz w:val="24"/>
          <w:szCs w:val="24"/>
          <w:lang w:val="uk-UA"/>
        </w:rPr>
        <w:t xml:space="preserve"> (відсотків)</w:t>
      </w:r>
    </w:p>
    <w:p w:rsidR="00776251" w:rsidRPr="003C4D9A" w:rsidRDefault="00776251" w:rsidP="00776251">
      <w:pPr>
        <w:spacing w:after="160" w:line="240" w:lineRule="auto"/>
        <w:rPr>
          <w:rFonts w:ascii="Times New Roman" w:eastAsia="Times New Roman" w:hAnsi="Times New Roman" w:cs="Times New Roman"/>
          <w:color w:val="auto"/>
          <w:sz w:val="24"/>
          <w:szCs w:val="24"/>
          <w:lang w:val="uk-UA"/>
        </w:rPr>
      </w:pPr>
    </w:p>
    <w:p w:rsidR="00776251" w:rsidRPr="003C4D9A" w:rsidRDefault="00776251" w:rsidP="00776251">
      <w:pPr>
        <w:spacing w:after="160" w:line="240" w:lineRule="auto"/>
        <w:rPr>
          <w:color w:val="auto"/>
          <w:lang w:val="uk-UA"/>
        </w:rPr>
      </w:pPr>
    </w:p>
    <w:p w:rsidR="008E7D2F" w:rsidRPr="003C4D9A" w:rsidRDefault="00D62AB7" w:rsidP="00776251">
      <w:pPr>
        <w:spacing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3. Розрахунок витрат суб’єктів малого підприємництва на виконання вимог регулювання</w:t>
      </w:r>
      <w:r w:rsidR="00975A7B" w:rsidRPr="003C4D9A">
        <w:rPr>
          <w:rFonts w:ascii="Times New Roman" w:eastAsia="Times New Roman" w:hAnsi="Times New Roman" w:cs="Times New Roman"/>
          <w:b/>
          <w:color w:val="auto"/>
          <w:sz w:val="24"/>
          <w:szCs w:val="24"/>
          <w:lang w:val="uk-UA"/>
        </w:rPr>
        <w:t xml:space="preserve"> (для суб’єктів господарювання, що здійснюють </w:t>
      </w:r>
      <w:r w:rsidR="00CD03F3" w:rsidRPr="003C4D9A">
        <w:rPr>
          <w:rFonts w:ascii="Times New Roman" w:eastAsia="Times New Roman" w:hAnsi="Times New Roman" w:cs="Times New Roman"/>
          <w:b/>
          <w:color w:val="auto"/>
          <w:sz w:val="24"/>
          <w:szCs w:val="24"/>
          <w:lang w:val="uk-UA"/>
        </w:rPr>
        <w:t>м’ясопереробну діяльність</w:t>
      </w:r>
      <w:r w:rsidR="00975A7B" w:rsidRPr="003C4D9A">
        <w:rPr>
          <w:rFonts w:ascii="Times New Roman" w:eastAsia="Times New Roman" w:hAnsi="Times New Roman" w:cs="Times New Roman"/>
          <w:b/>
          <w:color w:val="auto"/>
          <w:sz w:val="24"/>
          <w:szCs w:val="24"/>
          <w:lang w:val="uk-UA"/>
        </w:rPr>
        <w:t>)</w:t>
      </w:r>
    </w:p>
    <w:tbl>
      <w:tblPr>
        <w:tblStyle w:val="7"/>
        <w:tblW w:w="9641" w:type="dxa"/>
        <w:tblInd w:w="-111" w:type="dxa"/>
        <w:tblLayout w:type="fixed"/>
        <w:tblLook w:val="0400" w:firstRow="0" w:lastRow="0" w:firstColumn="0" w:lastColumn="0" w:noHBand="0" w:noVBand="1"/>
      </w:tblPr>
      <w:tblGrid>
        <w:gridCol w:w="552"/>
        <w:gridCol w:w="3102"/>
        <w:gridCol w:w="2319"/>
        <w:gridCol w:w="1868"/>
        <w:gridCol w:w="1800"/>
      </w:tblGrid>
      <w:tr w:rsidR="003C4D9A" w:rsidRPr="003C4D9A">
        <w:tc>
          <w:tcPr>
            <w:tcW w:w="55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w:t>
            </w:r>
          </w:p>
        </w:tc>
        <w:tc>
          <w:tcPr>
            <w:tcW w:w="31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Найменування оцінки</w:t>
            </w:r>
          </w:p>
        </w:tc>
        <w:tc>
          <w:tcPr>
            <w:tcW w:w="2319"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У перший рік (стартовий рік впровадження регулювання)</w:t>
            </w:r>
          </w:p>
        </w:tc>
        <w:tc>
          <w:tcPr>
            <w:tcW w:w="1868"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Періодичні (за наступний рік)</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Витрати за</w:t>
            </w:r>
          </w:p>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п’ять років</w:t>
            </w:r>
          </w:p>
        </w:tc>
      </w:tr>
      <w:tr w:rsidR="003C4D9A" w:rsidRPr="003C4D9A">
        <w:tc>
          <w:tcPr>
            <w:tcW w:w="9641" w:type="dxa"/>
            <w:gridSpan w:val="5"/>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Оцінка “прямих” витрат суб’єктів малого підприємництва на виконання регулювання</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Придбання необхідного обладнання (пристроїв, машин, механізмів)</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2</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3</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експлуатації обладнання (експлуатаційні витрати - витратні матеріали)</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4</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обслуговування обладнання (технічне обслуговування)</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5</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 xml:space="preserve">Інші процедури (година часу роботи працівника, та вартість поштового конверту) </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8E7D2F" w:rsidP="00776251">
            <w:pPr>
              <w:spacing w:line="240" w:lineRule="auto"/>
              <w:contextualSpacing w:val="0"/>
              <w:jc w:val="center"/>
              <w:rPr>
                <w:color w:val="auto"/>
                <w:lang w:val="uk-UA"/>
              </w:rPr>
            </w:pP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не передбачено</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6</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Разом,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7</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Кількість суб’єктів господарювання, що повинні виконати вимоги регулювання, одиниць</w:t>
            </w:r>
          </w:p>
        </w:tc>
        <w:tc>
          <w:tcPr>
            <w:tcW w:w="5987" w:type="dxa"/>
            <w:gridSpan w:val="3"/>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555</w:t>
            </w:r>
          </w:p>
        </w:tc>
      </w:tr>
      <w:tr w:rsidR="003C4D9A" w:rsidRPr="003C4D9A">
        <w:trPr>
          <w:trHeight w:val="760"/>
        </w:trPr>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8</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Сумарно,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9641" w:type="dxa"/>
            <w:gridSpan w:val="5"/>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Оцінка вартості адміністративних процедур суб’єктів малого підприємництва щодо виконання регулювання та звітування</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9</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отримання первинної інформації про вимоги регулювання</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1 300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1 300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10</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організації виконання вимог регулювання</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11</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офіційного звітування</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lastRenderedPageBreak/>
              <w:t>12</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щодо забезпечення процесу перевірок</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13</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Інші процедури (уточнити)</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8E7D2F" w:rsidP="00776251">
            <w:pPr>
              <w:spacing w:line="240" w:lineRule="auto"/>
              <w:contextualSpacing w:val="0"/>
              <w:jc w:val="center"/>
              <w:rPr>
                <w:color w:val="auto"/>
                <w:lang w:val="uk-UA"/>
              </w:rPr>
            </w:pP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Поштове відправлення та поштовий конверт</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85</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85</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14</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Разом,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15</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Кількість суб’єктів малого підприємництва, що повинні виконати вимоги регулювання, одиниць</w:t>
            </w:r>
          </w:p>
        </w:tc>
        <w:tc>
          <w:tcPr>
            <w:tcW w:w="5987" w:type="dxa"/>
            <w:gridSpan w:val="3"/>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555</w:t>
            </w:r>
          </w:p>
        </w:tc>
      </w:tr>
      <w:tr w:rsidR="003C4D9A" w:rsidRPr="003C4D9A">
        <w:tc>
          <w:tcPr>
            <w:tcW w:w="55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16</w:t>
            </w:r>
          </w:p>
        </w:tc>
        <w:tc>
          <w:tcPr>
            <w:tcW w:w="31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Сумарно,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768 675</w:t>
            </w:r>
          </w:p>
        </w:tc>
        <w:tc>
          <w:tcPr>
            <w:tcW w:w="1868"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D03F3"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768 675</w:t>
            </w:r>
          </w:p>
        </w:tc>
      </w:tr>
    </w:tbl>
    <w:p w:rsidR="008E7D2F" w:rsidRPr="003C4D9A" w:rsidRDefault="00CD03F3" w:rsidP="00776251">
      <w:pPr>
        <w:spacing w:after="240" w:line="240" w:lineRule="auto"/>
        <w:rPr>
          <w:color w:val="auto"/>
          <w:lang w:val="uk-UA"/>
        </w:rPr>
      </w:pPr>
      <w:r w:rsidRPr="003C4D9A">
        <w:rPr>
          <w:rFonts w:ascii="Times New Roman" w:eastAsia="Times New Roman" w:hAnsi="Times New Roman" w:cs="Times New Roman"/>
          <w:b/>
          <w:color w:val="auto"/>
          <w:sz w:val="24"/>
          <w:szCs w:val="24"/>
          <w:lang w:val="uk-UA"/>
        </w:rPr>
        <w:t>3-1. Розрахунок витрат суб’єктів малого підприємництва на виконання вимог регулювання (для суб’єктів господарювання, що здійснюють забій тварин та/або птиці)</w:t>
      </w:r>
    </w:p>
    <w:tbl>
      <w:tblPr>
        <w:tblStyle w:val="7"/>
        <w:tblW w:w="9641" w:type="dxa"/>
        <w:tblInd w:w="-111" w:type="dxa"/>
        <w:tblLayout w:type="fixed"/>
        <w:tblLook w:val="0400" w:firstRow="0" w:lastRow="0" w:firstColumn="0" w:lastColumn="0" w:noHBand="0" w:noVBand="1"/>
      </w:tblPr>
      <w:tblGrid>
        <w:gridCol w:w="552"/>
        <w:gridCol w:w="3102"/>
        <w:gridCol w:w="2319"/>
        <w:gridCol w:w="1868"/>
        <w:gridCol w:w="1800"/>
      </w:tblGrid>
      <w:tr w:rsidR="003C4D9A" w:rsidRPr="003C4D9A" w:rsidTr="001476A0">
        <w:tc>
          <w:tcPr>
            <w:tcW w:w="55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w:t>
            </w:r>
          </w:p>
        </w:tc>
        <w:tc>
          <w:tcPr>
            <w:tcW w:w="31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b/>
                <w:color w:val="auto"/>
                <w:lang w:val="uk-UA"/>
              </w:rPr>
              <w:t>Найменування оцінки</w:t>
            </w:r>
          </w:p>
        </w:tc>
        <w:tc>
          <w:tcPr>
            <w:tcW w:w="2319" w:type="dxa"/>
            <w:tcBorders>
              <w:top w:val="single" w:sz="4" w:space="0" w:color="000000"/>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b/>
                <w:color w:val="auto"/>
                <w:lang w:val="uk-UA"/>
              </w:rPr>
              <w:t>У перший рік (стартовий рік впровадження регулювання)</w:t>
            </w:r>
          </w:p>
        </w:tc>
        <w:tc>
          <w:tcPr>
            <w:tcW w:w="1868" w:type="dxa"/>
            <w:tcBorders>
              <w:top w:val="single" w:sz="4" w:space="0" w:color="000000"/>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b/>
                <w:color w:val="auto"/>
                <w:lang w:val="uk-UA"/>
              </w:rPr>
              <w:t>Періодичні (за наступний рік)</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b/>
                <w:color w:val="auto"/>
                <w:lang w:val="uk-UA"/>
              </w:rPr>
              <w:t>Витрати за</w:t>
            </w:r>
          </w:p>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b/>
                <w:color w:val="auto"/>
                <w:lang w:val="uk-UA"/>
              </w:rPr>
              <w:t>п’ять років</w:t>
            </w:r>
          </w:p>
        </w:tc>
      </w:tr>
      <w:tr w:rsidR="003C4D9A" w:rsidRPr="003C4D9A" w:rsidTr="001476A0">
        <w:tc>
          <w:tcPr>
            <w:tcW w:w="9641" w:type="dxa"/>
            <w:gridSpan w:val="5"/>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Оцінка “прямих” витрат суб’єктів малого підприємництва на виконання регулювання</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Придбання необхідного обладнання (пристроїв, машин, механізмів)</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2</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53 000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53 000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3</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експлуатації обладнання (експлуатаційні витрати - витратні матеріали)</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4</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обслуговування обладнання (технічне обслуговування)</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5</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 xml:space="preserve">Інші процедури (година часу роботи працівника, та вартість поштового конверту) </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не передбачено</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6</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Разом,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53 000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53 000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7</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Кількість суб’єктів господарювання, що повинні виконати вимоги регулювання, одиниць</w:t>
            </w:r>
          </w:p>
        </w:tc>
        <w:tc>
          <w:tcPr>
            <w:tcW w:w="5987" w:type="dxa"/>
            <w:gridSpan w:val="3"/>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121</w:t>
            </w:r>
          </w:p>
        </w:tc>
      </w:tr>
      <w:tr w:rsidR="003C4D9A" w:rsidRPr="003C4D9A" w:rsidTr="001476A0">
        <w:trPr>
          <w:trHeight w:val="760"/>
        </w:trPr>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8</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Сумарно,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6 413 000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6 413 000</w:t>
            </w:r>
          </w:p>
        </w:tc>
      </w:tr>
      <w:tr w:rsidR="003C4D9A" w:rsidRPr="003C4D9A" w:rsidTr="001476A0">
        <w:tc>
          <w:tcPr>
            <w:tcW w:w="9641" w:type="dxa"/>
            <w:gridSpan w:val="5"/>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b/>
                <w:color w:val="auto"/>
                <w:lang w:val="uk-UA"/>
              </w:rPr>
              <w:t>Оцінка вартості адміністративних процедур суб’єктів малого підприємництва щодо виконання регулювання та звітування</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lastRenderedPageBreak/>
              <w:t>9</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отримання первинної інформації про вимоги регулювання</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10</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організації виконання вимог регулювання</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11</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офіційного звітування</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12</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Процедури щодо забезпечення процесу перевірок</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13</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Інші процедури (уточнити)</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Поштове відправлення та поштовий конверт</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14</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Разом,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15</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Кількість суб’єктів малого підприємництва, що повинні виконати вимоги регулювання, одиниць</w:t>
            </w:r>
          </w:p>
        </w:tc>
        <w:tc>
          <w:tcPr>
            <w:tcW w:w="5987" w:type="dxa"/>
            <w:gridSpan w:val="3"/>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121</w:t>
            </w:r>
          </w:p>
        </w:tc>
      </w:tr>
      <w:tr w:rsidR="003C4D9A" w:rsidRPr="003C4D9A" w:rsidTr="001476A0">
        <w:tc>
          <w:tcPr>
            <w:tcW w:w="55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16</w:t>
            </w:r>
          </w:p>
        </w:tc>
        <w:tc>
          <w:tcPr>
            <w:tcW w:w="3102"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rPr>
                <w:color w:val="auto"/>
                <w:lang w:val="uk-UA"/>
              </w:rPr>
            </w:pPr>
            <w:r w:rsidRPr="003C4D9A">
              <w:rPr>
                <w:rFonts w:ascii="Times New Roman" w:eastAsia="Times New Roman" w:hAnsi="Times New Roman" w:cs="Times New Roman"/>
                <w:color w:val="auto"/>
                <w:lang w:val="uk-UA"/>
              </w:rPr>
              <w:t>Сумарно, гривень</w:t>
            </w:r>
          </w:p>
        </w:tc>
        <w:tc>
          <w:tcPr>
            <w:tcW w:w="2319"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c>
          <w:tcPr>
            <w:tcW w:w="1868" w:type="dxa"/>
            <w:tcBorders>
              <w:left w:val="single" w:sz="4" w:space="0" w:color="000000"/>
              <w:bottom w:val="single" w:sz="4" w:space="0" w:color="000000"/>
            </w:tcBorders>
            <w:tcMar>
              <w:top w:w="57" w:type="dxa"/>
              <w:left w:w="57" w:type="dxa"/>
              <w:bottom w:w="57" w:type="dxa"/>
              <w:right w:w="57" w:type="dxa"/>
            </w:tcMar>
          </w:tcPr>
          <w:p w:rsidR="00CD03F3" w:rsidRPr="003C4D9A" w:rsidRDefault="00CD03F3" w:rsidP="001476A0">
            <w:pPr>
              <w:spacing w:line="240" w:lineRule="auto"/>
              <w:contextualSpacing w:val="0"/>
              <w:jc w:val="center"/>
              <w:rPr>
                <w:color w:val="auto"/>
                <w:lang w:val="uk-UA"/>
              </w:rPr>
            </w:pPr>
            <w:r w:rsidRPr="003C4D9A">
              <w:rPr>
                <w:rFonts w:ascii="Times New Roman" w:eastAsia="Times New Roman" w:hAnsi="Times New Roman" w:cs="Times New Roman"/>
                <w:color w:val="auto"/>
                <w:lang w:val="uk-UA"/>
              </w:rPr>
              <w:t>X</w:t>
            </w:r>
          </w:p>
        </w:tc>
        <w:tc>
          <w:tcPr>
            <w:tcW w:w="1800" w:type="dxa"/>
            <w:tcBorders>
              <w:left w:val="single" w:sz="4" w:space="0" w:color="000000"/>
              <w:bottom w:val="single" w:sz="4" w:space="0" w:color="000000"/>
              <w:right w:val="single" w:sz="4" w:space="0" w:color="000000"/>
            </w:tcBorders>
            <w:tcMar>
              <w:top w:w="57" w:type="dxa"/>
              <w:left w:w="57" w:type="dxa"/>
              <w:bottom w:w="57" w:type="dxa"/>
              <w:right w:w="57" w:type="dxa"/>
            </w:tcMar>
          </w:tcPr>
          <w:p w:rsidR="00CD03F3" w:rsidRPr="003C4D9A" w:rsidRDefault="00CD03F3" w:rsidP="001476A0">
            <w:pPr>
              <w:spacing w:after="160" w:line="240" w:lineRule="auto"/>
              <w:contextualSpacing w:val="0"/>
              <w:jc w:val="center"/>
              <w:rPr>
                <w:color w:val="auto"/>
                <w:lang w:val="uk-UA"/>
              </w:rPr>
            </w:pPr>
            <w:r w:rsidRPr="003C4D9A">
              <w:rPr>
                <w:rFonts w:ascii="Times New Roman" w:eastAsia="Times New Roman" w:hAnsi="Times New Roman" w:cs="Times New Roman"/>
                <w:color w:val="auto"/>
                <w:lang w:val="uk-UA"/>
              </w:rPr>
              <w:t>0</w:t>
            </w:r>
          </w:p>
        </w:tc>
      </w:tr>
    </w:tbl>
    <w:p w:rsidR="00CD03F3" w:rsidRPr="003C4D9A" w:rsidRDefault="00CD03F3" w:rsidP="00776251">
      <w:pPr>
        <w:spacing w:after="240" w:line="240" w:lineRule="auto"/>
        <w:rPr>
          <w:color w:val="auto"/>
          <w:lang w:val="uk-UA"/>
        </w:rPr>
      </w:pPr>
    </w:p>
    <w:p w:rsidR="008E7D2F" w:rsidRPr="003C4D9A" w:rsidRDefault="00D62AB7" w:rsidP="00776251">
      <w:pPr>
        <w:spacing w:before="160"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БЮДЖЕТНІ ВИТРАТИ</w:t>
      </w:r>
    </w:p>
    <w:p w:rsidR="008E7D2F" w:rsidRPr="003C4D9A" w:rsidRDefault="00D62AB7" w:rsidP="00776251">
      <w:pPr>
        <w:spacing w:before="160" w:after="160" w:line="240" w:lineRule="auto"/>
        <w:jc w:val="center"/>
        <w:rPr>
          <w:color w:val="auto"/>
          <w:lang w:val="uk-UA"/>
        </w:rPr>
      </w:pPr>
      <w:r w:rsidRPr="003C4D9A">
        <w:rPr>
          <w:rFonts w:ascii="Times New Roman" w:eastAsia="Times New Roman" w:hAnsi="Times New Roman" w:cs="Times New Roman"/>
          <w:b/>
          <w:color w:val="auto"/>
          <w:sz w:val="24"/>
          <w:szCs w:val="24"/>
          <w:lang w:val="uk-UA"/>
        </w:rPr>
        <w:t xml:space="preserve">на адміністрування регулювання для суб’єктів малого і </w:t>
      </w:r>
      <w:proofErr w:type="spellStart"/>
      <w:r w:rsidRPr="003C4D9A">
        <w:rPr>
          <w:rFonts w:ascii="Times New Roman" w:eastAsia="Times New Roman" w:hAnsi="Times New Roman" w:cs="Times New Roman"/>
          <w:b/>
          <w:color w:val="auto"/>
          <w:sz w:val="24"/>
          <w:szCs w:val="24"/>
          <w:lang w:val="uk-UA"/>
        </w:rPr>
        <w:t>мікропідприємництва</w:t>
      </w:r>
      <w:proofErr w:type="spellEnd"/>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Державний орган, для якого здійснюється розрахунок адміністрування регулювання:</w:t>
      </w:r>
    </w:p>
    <w:p w:rsidR="00844885" w:rsidRPr="003C4D9A" w:rsidRDefault="00776251" w:rsidP="00776251">
      <w:pPr>
        <w:spacing w:after="160" w:line="240" w:lineRule="auto"/>
        <w:rPr>
          <w:rFonts w:ascii="Times New Roman" w:eastAsia="Times New Roman" w:hAnsi="Times New Roman" w:cs="Times New Roman"/>
          <w:color w:val="auto"/>
          <w:sz w:val="24"/>
          <w:szCs w:val="24"/>
          <w:lang w:val="uk-UA"/>
        </w:rPr>
      </w:pPr>
      <w:proofErr w:type="spellStart"/>
      <w:r w:rsidRPr="003C4D9A">
        <w:rPr>
          <w:rFonts w:ascii="Times New Roman" w:eastAsia="Times New Roman" w:hAnsi="Times New Roman" w:cs="Times New Roman"/>
          <w:color w:val="auto"/>
          <w:sz w:val="24"/>
          <w:szCs w:val="24"/>
          <w:lang w:val="en-US"/>
        </w:rPr>
        <w:t>Відповідно</w:t>
      </w:r>
      <w:proofErr w:type="spellEnd"/>
      <w:r w:rsidRPr="003C4D9A">
        <w:rPr>
          <w:rFonts w:ascii="Times New Roman" w:eastAsia="Times New Roman" w:hAnsi="Times New Roman" w:cs="Times New Roman"/>
          <w:color w:val="auto"/>
          <w:sz w:val="24"/>
          <w:szCs w:val="24"/>
          <w:lang w:val="en-US"/>
        </w:rPr>
        <w:t xml:space="preserve"> </w:t>
      </w:r>
      <w:proofErr w:type="spellStart"/>
      <w:r w:rsidRPr="003C4D9A">
        <w:rPr>
          <w:rFonts w:ascii="Times New Roman" w:eastAsia="Times New Roman" w:hAnsi="Times New Roman" w:cs="Times New Roman"/>
          <w:color w:val="auto"/>
          <w:sz w:val="24"/>
          <w:szCs w:val="24"/>
          <w:lang w:val="en-US"/>
        </w:rPr>
        <w:t>до</w:t>
      </w:r>
      <w:proofErr w:type="spellEnd"/>
      <w:r w:rsidRPr="003C4D9A">
        <w:rPr>
          <w:rFonts w:ascii="Times New Roman" w:eastAsia="Times New Roman" w:hAnsi="Times New Roman" w:cs="Times New Roman"/>
          <w:color w:val="auto"/>
          <w:sz w:val="24"/>
          <w:szCs w:val="24"/>
          <w:lang w:val="en-US"/>
        </w:rPr>
        <w:t xml:space="preserve"> </w:t>
      </w:r>
      <w:r w:rsidR="00844885" w:rsidRPr="003C4D9A">
        <w:rPr>
          <w:rFonts w:ascii="Times New Roman" w:eastAsia="Times New Roman" w:hAnsi="Times New Roman" w:cs="Times New Roman"/>
          <w:color w:val="auto"/>
          <w:sz w:val="24"/>
          <w:szCs w:val="24"/>
          <w:lang w:val="uk-UA"/>
        </w:rPr>
        <w:t xml:space="preserve">положень </w:t>
      </w:r>
      <w:r w:rsidRPr="003C4D9A">
        <w:rPr>
          <w:rFonts w:ascii="Times New Roman" w:eastAsia="Times New Roman" w:hAnsi="Times New Roman" w:cs="Times New Roman"/>
          <w:color w:val="auto"/>
          <w:sz w:val="24"/>
          <w:szCs w:val="24"/>
          <w:lang w:val="uk-UA"/>
        </w:rPr>
        <w:t>Наказу № 205 Міністерства екології та природних ресурсів України від 23.06.2015 року «Про затвердження інформаційної та технологічної карток адміністративної послуги з видачі висновку державної екологічної експертизи»</w:t>
      </w:r>
      <w:r w:rsidR="006F4BF4" w:rsidRPr="003C4D9A">
        <w:rPr>
          <w:rFonts w:ascii="Times New Roman" w:eastAsia="Times New Roman" w:hAnsi="Times New Roman" w:cs="Times New Roman"/>
          <w:color w:val="auto"/>
          <w:sz w:val="24"/>
          <w:szCs w:val="24"/>
          <w:lang w:val="uk-UA"/>
        </w:rPr>
        <w:t xml:space="preserve">, адміністративна послуга є безоплатною. </w:t>
      </w:r>
      <w:r w:rsidR="00844885" w:rsidRPr="003C4D9A">
        <w:rPr>
          <w:rFonts w:ascii="Times New Roman" w:eastAsia="Times New Roman" w:hAnsi="Times New Roman" w:cs="Times New Roman"/>
          <w:color w:val="auto"/>
          <w:sz w:val="24"/>
          <w:szCs w:val="24"/>
          <w:lang w:val="uk-UA"/>
        </w:rPr>
        <w:t xml:space="preserve">Згідно із технологічною карткою, адміністративна послуга складається з 10 етапів: </w:t>
      </w:r>
    </w:p>
    <w:tbl>
      <w:tblPr>
        <w:tblW w:w="0" w:type="auto"/>
        <w:tblInd w:w="115" w:type="dxa"/>
        <w:tblLayout w:type="fixed"/>
        <w:tblCellMar>
          <w:left w:w="135" w:type="dxa"/>
        </w:tblCellMar>
        <w:tblLook w:val="0000" w:firstRow="0" w:lastRow="0" w:firstColumn="0" w:lastColumn="0" w:noHBand="0" w:noVBand="0"/>
      </w:tblPr>
      <w:tblGrid>
        <w:gridCol w:w="4698"/>
        <w:gridCol w:w="4536"/>
      </w:tblGrid>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1. Надходження, реєстрація заявки на проведення державної екологічної експертизи для видачі висновку державної екологічної експертизи</w:t>
            </w:r>
            <w:bookmarkStart w:id="2" w:name="70"/>
            <w:bookmarkEnd w:id="2"/>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порядку надходження документів 1 день</w:t>
            </w:r>
            <w:bookmarkStart w:id="3" w:name="73"/>
            <w:bookmarkEnd w:id="3"/>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2. Передача зареєстрованих документів до Відділу оцінки впливу на довкілля</w:t>
            </w:r>
            <w:bookmarkStart w:id="4" w:name="74"/>
            <w:bookmarkEnd w:id="4"/>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порядку надходження документів 1 день</w:t>
            </w:r>
            <w:bookmarkStart w:id="5" w:name="77"/>
            <w:bookmarkEnd w:id="5"/>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3. Надсилання копії у паперовому або електронному вигляді (шляхом сканування) заявки від заявника органам для погодження видачі висновку державної екологічної експертизи</w:t>
            </w:r>
            <w:bookmarkStart w:id="6" w:name="78"/>
            <w:bookmarkEnd w:id="6"/>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порядку надходження документів 1 день</w:t>
            </w:r>
            <w:bookmarkStart w:id="7" w:name="81"/>
            <w:bookmarkEnd w:id="7"/>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4. Підготовка висновку державної екологічної експертизи</w:t>
            </w:r>
            <w:bookmarkStart w:id="8" w:name="82"/>
            <w:bookmarkEnd w:id="8"/>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Протягом 35 днів з моменту реєстрації в Мінприроди, з подовженням у разі потреби до 50 днів, а у виняткових випадках, залежно від складності проблеми, - до 110 днів.</w:t>
            </w:r>
            <w:r w:rsidRPr="003C4D9A">
              <w:rPr>
                <w:rFonts w:ascii="Times New Roman" w:hAnsi="Times New Roman" w:cs="Times New Roman"/>
                <w:color w:val="auto"/>
                <w:sz w:val="16"/>
                <w:szCs w:val="16"/>
                <w:lang w:val="uk-UA"/>
              </w:rPr>
              <w:br/>
              <w:t>За доопрацьованими матеріалами до 20 днів.</w:t>
            </w:r>
            <w:bookmarkStart w:id="9" w:name="85"/>
            <w:bookmarkEnd w:id="9"/>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5. Підписання висновку державної екологічної експертизи</w:t>
            </w:r>
            <w:bookmarkStart w:id="10" w:name="86"/>
            <w:bookmarkEnd w:id="10"/>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 xml:space="preserve">Протягом 3 днів з дня підписання висновку </w:t>
            </w:r>
            <w:proofErr w:type="spellStart"/>
            <w:r w:rsidRPr="003C4D9A">
              <w:rPr>
                <w:rFonts w:ascii="Times New Roman" w:hAnsi="Times New Roman" w:cs="Times New Roman"/>
                <w:color w:val="auto"/>
                <w:sz w:val="16"/>
                <w:szCs w:val="16"/>
                <w:lang w:val="uk-UA"/>
              </w:rPr>
              <w:t>держекоекспертизи</w:t>
            </w:r>
            <w:proofErr w:type="spellEnd"/>
            <w:r w:rsidRPr="003C4D9A">
              <w:rPr>
                <w:rFonts w:ascii="Times New Roman" w:hAnsi="Times New Roman" w:cs="Times New Roman"/>
                <w:color w:val="auto"/>
                <w:sz w:val="16"/>
                <w:szCs w:val="16"/>
                <w:lang w:val="uk-UA"/>
              </w:rPr>
              <w:t xml:space="preserve"> безпосереднім виконавцем та співвиконавцями у разі залучення</w:t>
            </w:r>
            <w:bookmarkStart w:id="11" w:name="89"/>
            <w:bookmarkEnd w:id="11"/>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6. Затвердження висновку</w:t>
            </w:r>
            <w:bookmarkStart w:id="12" w:name="90"/>
            <w:bookmarkEnd w:id="12"/>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3 дні</w:t>
            </w:r>
            <w:bookmarkStart w:id="13" w:name="93"/>
            <w:bookmarkEnd w:id="13"/>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7. Реєстрація висновку державної екологічної експертизи</w:t>
            </w:r>
            <w:bookmarkStart w:id="14" w:name="94"/>
            <w:bookmarkEnd w:id="14"/>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порядку надходження документів 1 день</w:t>
            </w:r>
            <w:bookmarkStart w:id="15" w:name="97"/>
            <w:bookmarkEnd w:id="15"/>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lastRenderedPageBreak/>
              <w:t>8. Передача висновку державної екологічної експертизи до Відділу опрацювання нормативно-правових актів та документообігу (єдине вікно) для розміщення на офіційному сайті Мінприроди</w:t>
            </w:r>
            <w:bookmarkStart w:id="16" w:name="98"/>
            <w:bookmarkEnd w:id="16"/>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порядку надходження документів 1 день</w:t>
            </w:r>
            <w:bookmarkStart w:id="17" w:name="101"/>
            <w:bookmarkEnd w:id="17"/>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9. Розміщення висновку державної екологічної експертизи на офіційному сайті Мінприроди</w:t>
            </w:r>
            <w:bookmarkStart w:id="18" w:name="102"/>
            <w:bookmarkEnd w:id="18"/>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Щомісячно</w:t>
            </w:r>
            <w:bookmarkStart w:id="19" w:name="105"/>
            <w:bookmarkEnd w:id="19"/>
          </w:p>
        </w:tc>
      </w:tr>
      <w:tr w:rsidR="003C4D9A" w:rsidRPr="003C4D9A" w:rsidTr="00844885">
        <w:trPr>
          <w:cantSplit/>
          <w:trHeight w:val="45"/>
        </w:trPr>
        <w:tc>
          <w:tcPr>
            <w:tcW w:w="4698" w:type="dxa"/>
            <w:tcBorders>
              <w:top w:val="outset" w:sz="8" w:space="0" w:color="000001"/>
              <w:left w:val="outset" w:sz="8" w:space="0" w:color="000001"/>
              <w:bottom w:val="outset" w:sz="8" w:space="0" w:color="000001"/>
              <w:right w:val="outset" w:sz="8" w:space="0" w:color="000001"/>
            </w:tcBorders>
            <w:shd w:val="clear" w:color="auto" w:fill="auto"/>
          </w:tcPr>
          <w:p w:rsidR="00844885" w:rsidRPr="003C4D9A" w:rsidRDefault="00844885" w:rsidP="00844885">
            <w:pPr>
              <w:rPr>
                <w:rFonts w:ascii="Times New Roman" w:hAnsi="Times New Roman" w:cs="Times New Roman"/>
                <w:color w:val="auto"/>
                <w:sz w:val="18"/>
                <w:szCs w:val="18"/>
                <w:lang w:val="uk-UA"/>
              </w:rPr>
            </w:pPr>
            <w:r w:rsidRPr="003C4D9A">
              <w:rPr>
                <w:rFonts w:ascii="Times New Roman" w:hAnsi="Times New Roman" w:cs="Times New Roman"/>
                <w:color w:val="auto"/>
                <w:sz w:val="18"/>
                <w:szCs w:val="18"/>
                <w:lang w:val="uk-UA"/>
              </w:rPr>
              <w:t>10. Видача висновку державної екологічної експертизи особисто заявнику або його представнику за довіреністю</w:t>
            </w:r>
            <w:bookmarkStart w:id="20" w:name="106"/>
            <w:bookmarkEnd w:id="20"/>
          </w:p>
        </w:tc>
        <w:tc>
          <w:tcPr>
            <w:tcW w:w="4536" w:type="dxa"/>
            <w:tcBorders>
              <w:top w:val="outset" w:sz="8" w:space="0" w:color="000001"/>
              <w:left w:val="outset" w:sz="8" w:space="0" w:color="000001"/>
              <w:bottom w:val="outset" w:sz="8" w:space="0" w:color="000001"/>
              <w:right w:val="outset" w:sz="8" w:space="0" w:color="000001"/>
            </w:tcBorders>
          </w:tcPr>
          <w:p w:rsidR="00844885" w:rsidRPr="003C4D9A" w:rsidRDefault="00844885" w:rsidP="00844885">
            <w:pPr>
              <w:rPr>
                <w:rFonts w:ascii="Times New Roman" w:hAnsi="Times New Roman" w:cs="Times New Roman"/>
                <w:color w:val="auto"/>
                <w:sz w:val="16"/>
                <w:szCs w:val="16"/>
                <w:lang w:val="uk-UA"/>
              </w:rPr>
            </w:pPr>
            <w:r w:rsidRPr="003C4D9A">
              <w:rPr>
                <w:rFonts w:ascii="Times New Roman" w:hAnsi="Times New Roman" w:cs="Times New Roman"/>
                <w:color w:val="auto"/>
                <w:sz w:val="16"/>
                <w:szCs w:val="16"/>
                <w:lang w:val="uk-UA"/>
              </w:rPr>
              <w:t>В день звернення Заявника</w:t>
            </w:r>
            <w:bookmarkStart w:id="21" w:name="109"/>
            <w:bookmarkEnd w:id="21"/>
          </w:p>
        </w:tc>
      </w:tr>
    </w:tbl>
    <w:p w:rsidR="000C4764" w:rsidRPr="003C4D9A" w:rsidRDefault="00844885" w:rsidP="00844885">
      <w:pPr>
        <w:pStyle w:val="HTML"/>
        <w:shd w:val="clear" w:color="auto" w:fill="FFFFFF"/>
        <w:textAlignment w:val="baseline"/>
        <w:rPr>
          <w:rFonts w:ascii="Times New Roman" w:hAnsi="Times New Roman" w:cs="Times New Roman"/>
          <w:sz w:val="24"/>
          <w:szCs w:val="24"/>
          <w:lang w:val="uk-UA"/>
        </w:rPr>
      </w:pPr>
      <w:r w:rsidRPr="003C4D9A">
        <w:rPr>
          <w:rFonts w:ascii="Times New Roman" w:hAnsi="Times New Roman" w:cs="Times New Roman"/>
          <w:sz w:val="24"/>
          <w:szCs w:val="24"/>
          <w:lang w:val="uk-UA"/>
        </w:rPr>
        <w:t xml:space="preserve"> </w:t>
      </w:r>
      <w:r w:rsidR="006F4BF4" w:rsidRPr="003C4D9A">
        <w:rPr>
          <w:rFonts w:ascii="Times New Roman" w:hAnsi="Times New Roman" w:cs="Times New Roman"/>
          <w:sz w:val="24"/>
          <w:szCs w:val="24"/>
          <w:lang w:val="uk-UA"/>
        </w:rPr>
        <w:t xml:space="preserve"> </w:t>
      </w:r>
      <w:r w:rsidRPr="003C4D9A">
        <w:rPr>
          <w:rFonts w:ascii="Times New Roman" w:hAnsi="Times New Roman" w:cs="Times New Roman"/>
          <w:sz w:val="24"/>
          <w:szCs w:val="24"/>
          <w:lang w:val="uk-UA"/>
        </w:rPr>
        <w:t xml:space="preserve">Згідно із положенням статті 14, об’єктами екологічної експертизи можуть  бути: </w:t>
      </w:r>
    </w:p>
    <w:p w:rsidR="00844885" w:rsidRPr="003C4D9A" w:rsidRDefault="00844885" w:rsidP="000C4764">
      <w:pPr>
        <w:pStyle w:val="HTML"/>
        <w:shd w:val="clear" w:color="auto" w:fill="FFFFFF"/>
        <w:jc w:val="both"/>
        <w:textAlignment w:val="baseline"/>
        <w:rPr>
          <w:rFonts w:ascii="Times New Roman" w:hAnsi="Times New Roman" w:cs="Times New Roman"/>
          <w:i/>
          <w:sz w:val="24"/>
          <w:szCs w:val="24"/>
          <w:u w:val="single"/>
          <w:lang w:val="uk-UA"/>
        </w:rPr>
      </w:pPr>
      <w:r w:rsidRPr="003C4D9A">
        <w:rPr>
          <w:rFonts w:ascii="Times New Roman" w:hAnsi="Times New Roman" w:cs="Times New Roman"/>
          <w:i/>
          <w:sz w:val="24"/>
          <w:szCs w:val="24"/>
          <w:u w:val="single"/>
          <w:lang w:val="uk-UA"/>
        </w:rPr>
        <w:t xml:space="preserve">1) державні інвестиційні програми, проекти  схем  розвитку  і </w:t>
      </w:r>
      <w:r w:rsidRPr="003C4D9A">
        <w:rPr>
          <w:rFonts w:ascii="Times New Roman" w:hAnsi="Times New Roman" w:cs="Times New Roman"/>
          <w:i/>
          <w:sz w:val="24"/>
          <w:szCs w:val="24"/>
          <w:u w:val="single"/>
          <w:lang w:val="uk-UA"/>
        </w:rPr>
        <w:br/>
        <w:t>розміщення продуктивних сил, розвитку окремих галузей економіки;</w:t>
      </w:r>
    </w:p>
    <w:p w:rsidR="00844885" w:rsidRPr="003C4D9A" w:rsidRDefault="00844885" w:rsidP="000C47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i/>
          <w:color w:val="auto"/>
          <w:sz w:val="24"/>
          <w:szCs w:val="24"/>
          <w:u w:val="single"/>
          <w:lang w:val="uk-UA"/>
        </w:rPr>
      </w:pPr>
      <w:bookmarkStart w:id="22" w:name="o84"/>
      <w:bookmarkEnd w:id="22"/>
      <w:r w:rsidRPr="003C4D9A">
        <w:rPr>
          <w:rFonts w:ascii="Times New Roman" w:eastAsia="Times New Roman" w:hAnsi="Times New Roman" w:cs="Times New Roman"/>
          <w:i/>
          <w:color w:val="auto"/>
          <w:sz w:val="24"/>
          <w:szCs w:val="24"/>
          <w:u w:val="single"/>
          <w:lang w:val="uk-UA"/>
        </w:rPr>
        <w:t xml:space="preserve">2)  проекти  генеральних  планів  населених  пунктів,    схем </w:t>
      </w:r>
      <w:r w:rsidRPr="003C4D9A">
        <w:rPr>
          <w:rFonts w:ascii="Times New Roman" w:eastAsia="Times New Roman" w:hAnsi="Times New Roman" w:cs="Times New Roman"/>
          <w:i/>
          <w:color w:val="auto"/>
          <w:sz w:val="24"/>
          <w:szCs w:val="24"/>
          <w:u w:val="single"/>
          <w:lang w:val="uk-UA"/>
        </w:rPr>
        <w:br/>
        <w:t>районного  планування;  {</w:t>
      </w:r>
    </w:p>
    <w:p w:rsidR="00844885" w:rsidRPr="003C4D9A" w:rsidRDefault="00844885" w:rsidP="000C47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i/>
          <w:color w:val="auto"/>
          <w:sz w:val="24"/>
          <w:szCs w:val="24"/>
          <w:u w:val="single"/>
          <w:lang w:val="uk-UA"/>
        </w:rPr>
      </w:pPr>
      <w:bookmarkStart w:id="23" w:name="o85"/>
      <w:bookmarkEnd w:id="23"/>
      <w:r w:rsidRPr="003C4D9A">
        <w:rPr>
          <w:rFonts w:ascii="Times New Roman" w:eastAsia="Times New Roman" w:hAnsi="Times New Roman" w:cs="Times New Roman"/>
          <w:i/>
          <w:color w:val="auto"/>
          <w:sz w:val="24"/>
          <w:szCs w:val="24"/>
          <w:u w:val="single"/>
          <w:lang w:val="uk-UA"/>
        </w:rPr>
        <w:t xml:space="preserve">3)   документація   по   перепрофілюванню,   консервації   та </w:t>
      </w:r>
      <w:r w:rsidRPr="003C4D9A">
        <w:rPr>
          <w:rFonts w:ascii="Times New Roman" w:eastAsia="Times New Roman" w:hAnsi="Times New Roman" w:cs="Times New Roman"/>
          <w:i/>
          <w:color w:val="auto"/>
          <w:sz w:val="24"/>
          <w:szCs w:val="24"/>
          <w:u w:val="single"/>
          <w:lang w:val="uk-UA"/>
        </w:rPr>
        <w:br/>
        <w:t xml:space="preserve">ліквідації  діючих підприємств, окремих </w:t>
      </w:r>
      <w:proofErr w:type="spellStart"/>
      <w:r w:rsidRPr="003C4D9A">
        <w:rPr>
          <w:rFonts w:ascii="Times New Roman" w:eastAsia="Times New Roman" w:hAnsi="Times New Roman" w:cs="Times New Roman"/>
          <w:i/>
          <w:color w:val="auto"/>
          <w:sz w:val="24"/>
          <w:szCs w:val="24"/>
          <w:u w:val="single"/>
          <w:lang w:val="uk-UA"/>
        </w:rPr>
        <w:t>цехів</w:t>
      </w:r>
      <w:proofErr w:type="spellEnd"/>
      <w:r w:rsidRPr="003C4D9A">
        <w:rPr>
          <w:rFonts w:ascii="Times New Roman" w:eastAsia="Times New Roman" w:hAnsi="Times New Roman" w:cs="Times New Roman"/>
          <w:i/>
          <w:color w:val="auto"/>
          <w:sz w:val="24"/>
          <w:szCs w:val="24"/>
          <w:u w:val="single"/>
          <w:lang w:val="uk-UA"/>
        </w:rPr>
        <w:t xml:space="preserve">, виробництв та інших </w:t>
      </w:r>
      <w:r w:rsidRPr="003C4D9A">
        <w:rPr>
          <w:rFonts w:ascii="Times New Roman" w:eastAsia="Times New Roman" w:hAnsi="Times New Roman" w:cs="Times New Roman"/>
          <w:i/>
          <w:color w:val="auto"/>
          <w:sz w:val="24"/>
          <w:szCs w:val="24"/>
          <w:u w:val="single"/>
          <w:lang w:val="uk-UA"/>
        </w:rPr>
        <w:br/>
        <w:t xml:space="preserve">промислових   і   господарських  об'єктів,  які  можуть  негативно </w:t>
      </w:r>
      <w:r w:rsidRPr="003C4D9A">
        <w:rPr>
          <w:rFonts w:ascii="Times New Roman" w:eastAsia="Times New Roman" w:hAnsi="Times New Roman" w:cs="Times New Roman"/>
          <w:i/>
          <w:color w:val="auto"/>
          <w:sz w:val="24"/>
          <w:szCs w:val="24"/>
          <w:u w:val="single"/>
          <w:lang w:val="uk-UA"/>
        </w:rPr>
        <w:br/>
        <w:t xml:space="preserve">впливати на стан навколишнього природного середовища, в тому числі </w:t>
      </w:r>
      <w:r w:rsidRPr="003C4D9A">
        <w:rPr>
          <w:rFonts w:ascii="Times New Roman" w:eastAsia="Times New Roman" w:hAnsi="Times New Roman" w:cs="Times New Roman"/>
          <w:i/>
          <w:color w:val="auto"/>
          <w:sz w:val="24"/>
          <w:szCs w:val="24"/>
          <w:u w:val="single"/>
          <w:lang w:val="uk-UA"/>
        </w:rPr>
        <w:br/>
        <w:t xml:space="preserve">військового  та  оборонного  призначення; </w:t>
      </w:r>
    </w:p>
    <w:p w:rsidR="00844885" w:rsidRPr="003C4D9A" w:rsidRDefault="00844885" w:rsidP="000C47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i/>
          <w:color w:val="auto"/>
          <w:sz w:val="24"/>
          <w:szCs w:val="24"/>
          <w:u w:val="single"/>
          <w:lang w:val="uk-UA"/>
        </w:rPr>
      </w:pPr>
      <w:bookmarkStart w:id="24" w:name="o86"/>
      <w:bookmarkEnd w:id="24"/>
      <w:r w:rsidRPr="003C4D9A">
        <w:rPr>
          <w:rFonts w:ascii="Times New Roman" w:eastAsia="Times New Roman" w:hAnsi="Times New Roman" w:cs="Times New Roman"/>
          <w:i/>
          <w:color w:val="auto"/>
          <w:sz w:val="24"/>
          <w:szCs w:val="24"/>
          <w:u w:val="single"/>
          <w:lang w:val="uk-UA"/>
        </w:rPr>
        <w:t xml:space="preserve">4) проекти законодавчих та інших  нормативно-правових  актів, </w:t>
      </w:r>
      <w:r w:rsidRPr="003C4D9A">
        <w:rPr>
          <w:rFonts w:ascii="Times New Roman" w:eastAsia="Times New Roman" w:hAnsi="Times New Roman" w:cs="Times New Roman"/>
          <w:i/>
          <w:color w:val="auto"/>
          <w:sz w:val="24"/>
          <w:szCs w:val="24"/>
          <w:u w:val="single"/>
          <w:lang w:val="uk-UA"/>
        </w:rPr>
        <w:br/>
        <w:t xml:space="preserve">що регулюють відносини в галузі забезпечення екологічної  (в  тому </w:t>
      </w:r>
      <w:r w:rsidRPr="003C4D9A">
        <w:rPr>
          <w:rFonts w:ascii="Times New Roman" w:eastAsia="Times New Roman" w:hAnsi="Times New Roman" w:cs="Times New Roman"/>
          <w:i/>
          <w:color w:val="auto"/>
          <w:sz w:val="24"/>
          <w:szCs w:val="24"/>
          <w:u w:val="single"/>
          <w:lang w:val="uk-UA"/>
        </w:rPr>
        <w:br/>
        <w:t xml:space="preserve">числі  радіаційної)  безпеки,  охорони  навколишнього   природного </w:t>
      </w:r>
      <w:r w:rsidRPr="003C4D9A">
        <w:rPr>
          <w:rFonts w:ascii="Times New Roman" w:eastAsia="Times New Roman" w:hAnsi="Times New Roman" w:cs="Times New Roman"/>
          <w:i/>
          <w:color w:val="auto"/>
          <w:sz w:val="24"/>
          <w:szCs w:val="24"/>
          <w:u w:val="single"/>
          <w:lang w:val="uk-UA"/>
        </w:rPr>
        <w:br/>
        <w:t xml:space="preserve">середовища і використання природних ресурсів, діяльності, що  може </w:t>
      </w:r>
      <w:r w:rsidRPr="003C4D9A">
        <w:rPr>
          <w:rFonts w:ascii="Times New Roman" w:eastAsia="Times New Roman" w:hAnsi="Times New Roman" w:cs="Times New Roman"/>
          <w:i/>
          <w:color w:val="auto"/>
          <w:sz w:val="24"/>
          <w:szCs w:val="24"/>
          <w:u w:val="single"/>
          <w:lang w:val="uk-UA"/>
        </w:rPr>
        <w:br/>
        <w:t xml:space="preserve">негативно  впливати  на  стан навколишнього природного середовища; </w:t>
      </w:r>
      <w:r w:rsidRPr="003C4D9A">
        <w:rPr>
          <w:rFonts w:ascii="Times New Roman" w:eastAsia="Times New Roman" w:hAnsi="Times New Roman" w:cs="Times New Roman"/>
          <w:i/>
          <w:color w:val="auto"/>
          <w:sz w:val="24"/>
          <w:szCs w:val="24"/>
          <w:u w:val="single"/>
          <w:lang w:val="uk-UA"/>
        </w:rPr>
        <w:br/>
      </w:r>
      <w:bookmarkStart w:id="25" w:name="o87"/>
      <w:bookmarkEnd w:id="25"/>
      <w:r w:rsidRPr="003C4D9A">
        <w:rPr>
          <w:rFonts w:ascii="Times New Roman" w:eastAsia="Times New Roman" w:hAnsi="Times New Roman" w:cs="Times New Roman"/>
          <w:i/>
          <w:color w:val="auto"/>
          <w:sz w:val="24"/>
          <w:szCs w:val="24"/>
          <w:u w:val="single"/>
          <w:lang w:val="uk-UA"/>
        </w:rPr>
        <w:t xml:space="preserve">5) документація по впровадженню  нової  техніки,  технологій, </w:t>
      </w:r>
      <w:r w:rsidRPr="003C4D9A">
        <w:rPr>
          <w:rFonts w:ascii="Times New Roman" w:eastAsia="Times New Roman" w:hAnsi="Times New Roman" w:cs="Times New Roman"/>
          <w:i/>
          <w:color w:val="auto"/>
          <w:sz w:val="24"/>
          <w:szCs w:val="24"/>
          <w:u w:val="single"/>
          <w:lang w:val="uk-UA"/>
        </w:rPr>
        <w:br/>
        <w:t xml:space="preserve">матеріалів і речовин  (у  тому  числі  тих,  що  закуповуються  за </w:t>
      </w:r>
      <w:r w:rsidRPr="003C4D9A">
        <w:rPr>
          <w:rFonts w:ascii="Times New Roman" w:eastAsia="Times New Roman" w:hAnsi="Times New Roman" w:cs="Times New Roman"/>
          <w:i/>
          <w:color w:val="auto"/>
          <w:sz w:val="24"/>
          <w:szCs w:val="24"/>
          <w:u w:val="single"/>
          <w:lang w:val="uk-UA"/>
        </w:rPr>
        <w:br/>
        <w:t xml:space="preserve">кордоном), які можуть створити  потенційну  загрозу  навколишньому </w:t>
      </w:r>
      <w:r w:rsidRPr="003C4D9A">
        <w:rPr>
          <w:rFonts w:ascii="Times New Roman" w:eastAsia="Times New Roman" w:hAnsi="Times New Roman" w:cs="Times New Roman"/>
          <w:i/>
          <w:color w:val="auto"/>
          <w:sz w:val="24"/>
          <w:szCs w:val="24"/>
          <w:u w:val="single"/>
          <w:lang w:val="uk-UA"/>
        </w:rPr>
        <w:br/>
        <w:t xml:space="preserve">природному  середовищу; </w:t>
      </w:r>
    </w:p>
    <w:p w:rsidR="00844885" w:rsidRPr="003C4D9A" w:rsidRDefault="00844885" w:rsidP="000C47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i/>
          <w:color w:val="auto"/>
          <w:sz w:val="24"/>
          <w:szCs w:val="24"/>
          <w:u w:val="single"/>
          <w:lang w:val="uk-UA"/>
        </w:rPr>
      </w:pPr>
      <w:bookmarkStart w:id="26" w:name="o88"/>
      <w:bookmarkEnd w:id="26"/>
      <w:r w:rsidRPr="003C4D9A">
        <w:rPr>
          <w:rFonts w:ascii="Times New Roman" w:eastAsia="Times New Roman" w:hAnsi="Times New Roman" w:cs="Times New Roman"/>
          <w:i/>
          <w:color w:val="auto"/>
          <w:sz w:val="24"/>
          <w:szCs w:val="24"/>
          <w:u w:val="single"/>
          <w:lang w:val="uk-UA"/>
        </w:rPr>
        <w:t xml:space="preserve">6)  документація  щодо генетично модифікованих організмів, що </w:t>
      </w:r>
      <w:r w:rsidRPr="003C4D9A">
        <w:rPr>
          <w:rFonts w:ascii="Times New Roman" w:eastAsia="Times New Roman" w:hAnsi="Times New Roman" w:cs="Times New Roman"/>
          <w:i/>
          <w:color w:val="auto"/>
          <w:sz w:val="24"/>
          <w:szCs w:val="24"/>
          <w:u w:val="single"/>
          <w:lang w:val="uk-UA"/>
        </w:rPr>
        <w:br/>
        <w:t xml:space="preserve">призначаються  для  використання  у  відкритій  системі. </w:t>
      </w:r>
      <w:r w:rsidRPr="003C4D9A">
        <w:rPr>
          <w:rFonts w:ascii="Times New Roman" w:eastAsia="Times New Roman" w:hAnsi="Times New Roman" w:cs="Times New Roman"/>
          <w:i/>
          <w:color w:val="auto"/>
          <w:sz w:val="24"/>
          <w:szCs w:val="24"/>
          <w:u w:val="single"/>
          <w:lang w:val="uk-UA"/>
        </w:rPr>
        <w:br/>
      </w:r>
      <w:bookmarkStart w:id="27" w:name="o89"/>
      <w:bookmarkEnd w:id="27"/>
      <w:r w:rsidRPr="003C4D9A">
        <w:rPr>
          <w:rFonts w:ascii="Times New Roman" w:eastAsia="Times New Roman" w:hAnsi="Times New Roman" w:cs="Times New Roman"/>
          <w:i/>
          <w:color w:val="auto"/>
          <w:sz w:val="24"/>
          <w:szCs w:val="24"/>
          <w:u w:val="single"/>
          <w:lang w:val="uk-UA"/>
        </w:rPr>
        <w:t xml:space="preserve">Відповідно   до   рішень  Кабінету  Міністрів  України,  Ради </w:t>
      </w:r>
      <w:r w:rsidRPr="003C4D9A">
        <w:rPr>
          <w:rFonts w:ascii="Times New Roman" w:eastAsia="Times New Roman" w:hAnsi="Times New Roman" w:cs="Times New Roman"/>
          <w:i/>
          <w:color w:val="auto"/>
          <w:sz w:val="24"/>
          <w:szCs w:val="24"/>
          <w:u w:val="single"/>
          <w:lang w:val="uk-UA"/>
        </w:rPr>
        <w:br/>
        <w:t xml:space="preserve">міністрів   Автономної   Республіки   Крим,   місцевих  виконавчих </w:t>
      </w:r>
      <w:r w:rsidRPr="003C4D9A">
        <w:rPr>
          <w:rFonts w:ascii="Times New Roman" w:eastAsia="Times New Roman" w:hAnsi="Times New Roman" w:cs="Times New Roman"/>
          <w:i/>
          <w:color w:val="auto"/>
          <w:sz w:val="24"/>
          <w:szCs w:val="24"/>
          <w:u w:val="single"/>
          <w:lang w:val="uk-UA"/>
        </w:rPr>
        <w:br/>
        <w:t xml:space="preserve">комітетів  сільських,  селищних, міських рад державній екологічній </w:t>
      </w:r>
      <w:r w:rsidRPr="003C4D9A">
        <w:rPr>
          <w:rFonts w:ascii="Times New Roman" w:eastAsia="Times New Roman" w:hAnsi="Times New Roman" w:cs="Times New Roman"/>
          <w:i/>
          <w:color w:val="auto"/>
          <w:sz w:val="24"/>
          <w:szCs w:val="24"/>
          <w:u w:val="single"/>
          <w:lang w:val="uk-UA"/>
        </w:rPr>
        <w:br/>
        <w:t xml:space="preserve">експертизі  можуть  підлягати  екологічні  ситуації, що склалися в </w:t>
      </w:r>
      <w:r w:rsidRPr="003C4D9A">
        <w:rPr>
          <w:rFonts w:ascii="Times New Roman" w:eastAsia="Times New Roman" w:hAnsi="Times New Roman" w:cs="Times New Roman"/>
          <w:i/>
          <w:color w:val="auto"/>
          <w:sz w:val="24"/>
          <w:szCs w:val="24"/>
          <w:u w:val="single"/>
          <w:lang w:val="uk-UA"/>
        </w:rPr>
        <w:br/>
        <w:t xml:space="preserve">окремих  населених  пунктах  і  регіонах, а також діючі об'єкти та </w:t>
      </w:r>
      <w:r w:rsidRPr="003C4D9A">
        <w:rPr>
          <w:rFonts w:ascii="Times New Roman" w:eastAsia="Times New Roman" w:hAnsi="Times New Roman" w:cs="Times New Roman"/>
          <w:i/>
          <w:color w:val="auto"/>
          <w:sz w:val="24"/>
          <w:szCs w:val="24"/>
          <w:u w:val="single"/>
          <w:lang w:val="uk-UA"/>
        </w:rPr>
        <w:br/>
        <w:t xml:space="preserve">комплекси,  в тому числі військового та оборонного призначення, що </w:t>
      </w:r>
      <w:r w:rsidRPr="003C4D9A">
        <w:rPr>
          <w:rFonts w:ascii="Times New Roman" w:eastAsia="Times New Roman" w:hAnsi="Times New Roman" w:cs="Times New Roman"/>
          <w:i/>
          <w:color w:val="auto"/>
          <w:sz w:val="24"/>
          <w:szCs w:val="24"/>
          <w:u w:val="single"/>
          <w:lang w:val="uk-UA"/>
        </w:rPr>
        <w:br/>
        <w:t xml:space="preserve">мають  значний  негативний  вплив на стан навколишнього природного </w:t>
      </w:r>
      <w:r w:rsidRPr="003C4D9A">
        <w:rPr>
          <w:rFonts w:ascii="Times New Roman" w:eastAsia="Times New Roman" w:hAnsi="Times New Roman" w:cs="Times New Roman"/>
          <w:i/>
          <w:color w:val="auto"/>
          <w:sz w:val="24"/>
          <w:szCs w:val="24"/>
          <w:u w:val="single"/>
          <w:lang w:val="uk-UA"/>
        </w:rPr>
        <w:br/>
        <w:t>середовища.</w:t>
      </w:r>
    </w:p>
    <w:p w:rsidR="008E7D2F" w:rsidRPr="003C4D9A" w:rsidRDefault="000C4764" w:rsidP="00CD03F3">
      <w:pPr>
        <w:spacing w:after="160" w:line="240" w:lineRule="auto"/>
        <w:jc w:val="both"/>
        <w:rPr>
          <w:rFonts w:ascii="Times New Roman" w:hAnsi="Times New Roman" w:cs="Times New Roman"/>
          <w:color w:val="auto"/>
          <w:sz w:val="24"/>
          <w:szCs w:val="24"/>
          <w:lang w:val="uk-UA"/>
        </w:rPr>
      </w:pPr>
      <w:r w:rsidRPr="003C4D9A">
        <w:rPr>
          <w:rFonts w:ascii="Times New Roman" w:hAnsi="Times New Roman" w:cs="Times New Roman"/>
          <w:color w:val="auto"/>
          <w:sz w:val="24"/>
          <w:szCs w:val="24"/>
          <w:lang w:val="uk-UA"/>
        </w:rPr>
        <w:t xml:space="preserve">В нашому випадку, </w:t>
      </w:r>
      <w:r w:rsidR="00C17AA9" w:rsidRPr="003C4D9A">
        <w:rPr>
          <w:rFonts w:ascii="Times New Roman" w:hAnsi="Times New Roman" w:cs="Times New Roman"/>
          <w:color w:val="auto"/>
          <w:sz w:val="24"/>
          <w:szCs w:val="24"/>
          <w:lang w:val="uk-UA"/>
        </w:rPr>
        <w:t xml:space="preserve">екологічна експертиза діяльності із забою тварин та/або птиці </w:t>
      </w:r>
      <w:r w:rsidR="00CD03F3" w:rsidRPr="003C4D9A">
        <w:rPr>
          <w:rFonts w:ascii="Times New Roman" w:hAnsi="Times New Roman" w:cs="Times New Roman"/>
          <w:color w:val="auto"/>
          <w:sz w:val="24"/>
          <w:szCs w:val="24"/>
          <w:lang w:val="uk-UA"/>
        </w:rPr>
        <w:t xml:space="preserve">не </w:t>
      </w:r>
      <w:r w:rsidR="00C17AA9" w:rsidRPr="003C4D9A">
        <w:rPr>
          <w:rFonts w:ascii="Times New Roman" w:hAnsi="Times New Roman" w:cs="Times New Roman"/>
          <w:color w:val="auto"/>
          <w:sz w:val="24"/>
          <w:szCs w:val="24"/>
          <w:lang w:val="uk-UA"/>
        </w:rPr>
        <w:t xml:space="preserve">є </w:t>
      </w:r>
      <w:r w:rsidR="000E29D3" w:rsidRPr="003C4D9A">
        <w:rPr>
          <w:rFonts w:ascii="Times New Roman" w:hAnsi="Times New Roman" w:cs="Times New Roman"/>
          <w:color w:val="auto"/>
          <w:sz w:val="24"/>
          <w:szCs w:val="24"/>
          <w:lang w:val="uk-UA"/>
        </w:rPr>
        <w:t xml:space="preserve">складною та </w:t>
      </w:r>
      <w:r w:rsidR="00CD03F3" w:rsidRPr="003C4D9A">
        <w:rPr>
          <w:rFonts w:ascii="Times New Roman" w:hAnsi="Times New Roman" w:cs="Times New Roman"/>
          <w:color w:val="auto"/>
          <w:sz w:val="24"/>
          <w:szCs w:val="24"/>
          <w:lang w:val="uk-UA"/>
        </w:rPr>
        <w:t>здійснюватиметься в рамках щоденної роботи</w:t>
      </w:r>
      <w:r w:rsidR="000E29D3" w:rsidRPr="003C4D9A">
        <w:rPr>
          <w:rFonts w:ascii="Times New Roman" w:hAnsi="Times New Roman" w:cs="Times New Roman"/>
          <w:color w:val="auto"/>
          <w:sz w:val="24"/>
          <w:szCs w:val="24"/>
          <w:lang w:val="uk-UA"/>
        </w:rPr>
        <w:t xml:space="preserve">. За даними </w:t>
      </w:r>
      <w:r w:rsidR="000E29D3" w:rsidRPr="003C4D9A">
        <w:rPr>
          <w:rStyle w:val="af"/>
          <w:rFonts w:ascii="Times New Roman" w:hAnsi="Times New Roman" w:cs="Times New Roman"/>
          <w:b w:val="0"/>
          <w:color w:val="auto"/>
          <w:sz w:val="24"/>
          <w:szCs w:val="24"/>
          <w:bdr w:val="none" w:sz="0" w:space="0" w:color="auto" w:frame="1"/>
          <w:lang w:val="uk-UA"/>
        </w:rPr>
        <w:t>Реєстру операторів ринку та потужностей харчових продуктів, на які видано експлуатаційний дозвіл (наказ Мінагрополітики від 10.02.2016 № 40)</w:t>
      </w:r>
      <w:r w:rsidR="000E29D3" w:rsidRPr="003C4D9A">
        <w:rPr>
          <w:rFonts w:ascii="Times New Roman" w:hAnsi="Times New Roman" w:cs="Times New Roman"/>
          <w:b/>
          <w:bCs/>
          <w:color w:val="auto"/>
          <w:sz w:val="24"/>
          <w:szCs w:val="24"/>
          <w:bdr w:val="none" w:sz="0" w:space="0" w:color="auto" w:frame="1"/>
          <w:lang w:val="uk-UA"/>
        </w:rPr>
        <w:t>, в Україні діє 121 бійня</w:t>
      </w:r>
      <w:r w:rsidR="000E29D3" w:rsidRPr="003C4D9A">
        <w:rPr>
          <w:rFonts w:ascii="Times New Roman" w:hAnsi="Times New Roman" w:cs="Times New Roman"/>
          <w:color w:val="auto"/>
          <w:sz w:val="24"/>
          <w:szCs w:val="24"/>
          <w:lang w:val="uk-UA"/>
        </w:rPr>
        <w:t xml:space="preserve">. Таким чином, екологічну експертизу мають пройти </w:t>
      </w:r>
      <w:r w:rsidR="00EA5596" w:rsidRPr="003C4D9A">
        <w:rPr>
          <w:rFonts w:ascii="Times New Roman" w:hAnsi="Times New Roman" w:cs="Times New Roman"/>
          <w:color w:val="auto"/>
          <w:sz w:val="24"/>
          <w:szCs w:val="24"/>
          <w:lang w:val="uk-UA"/>
        </w:rPr>
        <w:t xml:space="preserve">суб’єкти господарювання, що здійснюють забій тварин та/або птиці та нові оператори ринку. </w:t>
      </w:r>
      <w:r w:rsidR="000E29D3" w:rsidRPr="003C4D9A">
        <w:rPr>
          <w:rFonts w:ascii="Times New Roman" w:hAnsi="Times New Roman" w:cs="Times New Roman"/>
          <w:color w:val="auto"/>
          <w:sz w:val="24"/>
          <w:szCs w:val="24"/>
          <w:lang w:val="uk-UA"/>
        </w:rPr>
        <w:t xml:space="preserve"> </w:t>
      </w:r>
    </w:p>
    <w:tbl>
      <w:tblPr>
        <w:tblStyle w:val="60"/>
        <w:tblW w:w="9638" w:type="dxa"/>
        <w:tblInd w:w="-114" w:type="dxa"/>
        <w:tblLayout w:type="fixed"/>
        <w:tblLook w:val="0400" w:firstRow="0" w:lastRow="0" w:firstColumn="0" w:lastColumn="0" w:noHBand="0" w:noVBand="1"/>
      </w:tblPr>
      <w:tblGrid>
        <w:gridCol w:w="2433"/>
        <w:gridCol w:w="1093"/>
        <w:gridCol w:w="1602"/>
        <w:gridCol w:w="1353"/>
        <w:gridCol w:w="1414"/>
        <w:gridCol w:w="1743"/>
      </w:tblGrid>
      <w:tr w:rsidR="003C4D9A" w:rsidRPr="003C4D9A">
        <w:trPr>
          <w:trHeight w:val="3380"/>
        </w:trPr>
        <w:tc>
          <w:tcPr>
            <w:tcW w:w="2433"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lastRenderedPageBreak/>
              <w:t xml:space="preserve">Процедура регулювання суб’єктів малого і </w:t>
            </w:r>
            <w:proofErr w:type="spellStart"/>
            <w:r w:rsidRPr="003C4D9A">
              <w:rPr>
                <w:rFonts w:ascii="Times New Roman" w:eastAsia="Times New Roman" w:hAnsi="Times New Roman" w:cs="Times New Roman"/>
                <w:b/>
                <w:color w:val="auto"/>
                <w:lang w:val="uk-UA"/>
              </w:rPr>
              <w:t>мікропідприємництва</w:t>
            </w:r>
            <w:proofErr w:type="spellEnd"/>
            <w:r w:rsidRPr="003C4D9A">
              <w:rPr>
                <w:rFonts w:ascii="Times New Roman" w:eastAsia="Times New Roman" w:hAnsi="Times New Roman" w:cs="Times New Roman"/>
                <w:b/>
                <w:color w:val="auto"/>
                <w:lang w:val="uk-UA"/>
              </w:rPr>
              <w:t xml:space="preserve"> (розрахунок на одного типового суб’єкта господарювання)</w:t>
            </w:r>
          </w:p>
        </w:tc>
        <w:tc>
          <w:tcPr>
            <w:tcW w:w="1093"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Планові витрати часу на процедуру</w:t>
            </w:r>
          </w:p>
        </w:tc>
        <w:tc>
          <w:tcPr>
            <w:tcW w:w="1602"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Вартість часу співробітника органу державної влади відповідної категорії (заробітна плата за 1 годину робочого часу)</w:t>
            </w:r>
          </w:p>
        </w:tc>
        <w:tc>
          <w:tcPr>
            <w:tcW w:w="1353"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Оцінка кількості процедур за рік, що припадають на одного суб’єкта</w:t>
            </w:r>
          </w:p>
        </w:tc>
        <w:tc>
          <w:tcPr>
            <w:tcW w:w="1414"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Оцінка кількості суб’єктів, що підпадають під дію процедури регулювання</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Витрати на адміністрування регулювання* (за рік), гривень</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Облік суб’єкта господарювання, що перебуває у сфері регулювання</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EC6351"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1 година</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EC6351"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48,29</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EC6351"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1</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EC6351"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121</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EC6351"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5 808</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Поточний контроль за суб’єктом господарювання, що перебуває у сфері регулювання, у тому числі камеральні</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Поточний контроль за суб’єктом господарювання, що перебуває у сфері регулювання, у тому числі виїзні</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Підготовка, затвердження та опрацювання одного окремого акта про порушення вимог регулювання</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Реалізація одного окремого рішення щодо порушення вимог регулювання</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Оскарження одного окремого рішення суб’єктами господарювання</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Підготовка звітності за результатами регулювання</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Разом за рік</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C17AA9"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C17AA9"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48,29</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C17AA9"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C17AA9"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C17AA9"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5 843,09</w:t>
            </w:r>
          </w:p>
        </w:tc>
      </w:tr>
      <w:tr w:rsidR="003C4D9A" w:rsidRPr="003C4D9A">
        <w:tc>
          <w:tcPr>
            <w:tcW w:w="243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Сумарно за п’ять </w:t>
            </w:r>
            <w:r w:rsidRPr="003C4D9A">
              <w:rPr>
                <w:rFonts w:ascii="Times New Roman" w:eastAsia="Times New Roman" w:hAnsi="Times New Roman" w:cs="Times New Roman"/>
                <w:color w:val="auto"/>
                <w:sz w:val="24"/>
                <w:szCs w:val="24"/>
                <w:lang w:val="uk-UA"/>
              </w:rPr>
              <w:lastRenderedPageBreak/>
              <w:t>років</w:t>
            </w:r>
          </w:p>
        </w:tc>
        <w:tc>
          <w:tcPr>
            <w:tcW w:w="109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1</w:t>
            </w:r>
          </w:p>
        </w:tc>
        <w:tc>
          <w:tcPr>
            <w:tcW w:w="1602"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48, 29</w:t>
            </w:r>
          </w:p>
        </w:tc>
        <w:tc>
          <w:tcPr>
            <w:tcW w:w="135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1414"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1743"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after="160" w:line="240" w:lineRule="auto"/>
              <w:contextualSpacing w:val="0"/>
              <w:jc w:val="center"/>
              <w:rPr>
                <w:color w:val="auto"/>
                <w:lang w:val="uk-UA"/>
              </w:rPr>
            </w:pPr>
            <w:r w:rsidRPr="003C4D9A">
              <w:rPr>
                <w:rFonts w:ascii="Times New Roman" w:eastAsia="Times New Roman" w:hAnsi="Times New Roman" w:cs="Times New Roman"/>
                <w:color w:val="auto"/>
                <w:sz w:val="24"/>
                <w:szCs w:val="24"/>
                <w:lang w:val="uk-UA"/>
              </w:rPr>
              <w:t>5 843,09</w:t>
            </w:r>
          </w:p>
        </w:tc>
      </w:tr>
    </w:tbl>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color w:val="auto"/>
          <w:sz w:val="24"/>
          <w:szCs w:val="24"/>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4. Розрахунок сумарних витрат суб’єктів малого підприємництва, що виникають на виконання вимог регулювання</w:t>
      </w:r>
    </w:p>
    <w:tbl>
      <w:tblPr>
        <w:tblStyle w:val="50"/>
        <w:tblW w:w="9638" w:type="dxa"/>
        <w:tblInd w:w="-114" w:type="dxa"/>
        <w:tblLayout w:type="fixed"/>
        <w:tblLook w:val="0400" w:firstRow="0" w:lastRow="0" w:firstColumn="0" w:lastColumn="0" w:noHBand="0" w:noVBand="1"/>
      </w:tblPr>
      <w:tblGrid>
        <w:gridCol w:w="709"/>
        <w:gridCol w:w="3402"/>
        <w:gridCol w:w="2763"/>
        <w:gridCol w:w="2764"/>
      </w:tblGrid>
      <w:tr w:rsidR="003C4D9A" w:rsidRPr="003C4D9A">
        <w:tc>
          <w:tcPr>
            <w:tcW w:w="709"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w:t>
            </w:r>
          </w:p>
        </w:tc>
        <w:tc>
          <w:tcPr>
            <w:tcW w:w="3402"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Показник</w:t>
            </w:r>
          </w:p>
        </w:tc>
        <w:tc>
          <w:tcPr>
            <w:tcW w:w="2763"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Перший рік регулювання (стартовий), гривень</w:t>
            </w:r>
          </w:p>
        </w:tc>
        <w:tc>
          <w:tcPr>
            <w:tcW w:w="27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 п’ять років, гривень</w:t>
            </w:r>
          </w:p>
        </w:tc>
      </w:tr>
      <w:tr w:rsidR="003C4D9A" w:rsidRPr="003C4D9A">
        <w:tc>
          <w:tcPr>
            <w:tcW w:w="70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34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Оцінка “прямих” витрат суб’єктів малого підприємництва на виконання регулювання</w:t>
            </w:r>
          </w:p>
        </w:tc>
        <w:tc>
          <w:tcPr>
            <w:tcW w:w="276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6 413 000 </w:t>
            </w:r>
          </w:p>
        </w:tc>
        <w:tc>
          <w:tcPr>
            <w:tcW w:w="2764"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6 413 000</w:t>
            </w:r>
          </w:p>
        </w:tc>
      </w:tr>
      <w:tr w:rsidR="003C4D9A" w:rsidRPr="003C4D9A">
        <w:tc>
          <w:tcPr>
            <w:tcW w:w="70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w:t>
            </w:r>
          </w:p>
        </w:tc>
        <w:tc>
          <w:tcPr>
            <w:tcW w:w="34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768 675</w:t>
            </w:r>
          </w:p>
        </w:tc>
        <w:tc>
          <w:tcPr>
            <w:tcW w:w="2764"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768 675</w:t>
            </w:r>
          </w:p>
        </w:tc>
      </w:tr>
      <w:tr w:rsidR="003C4D9A" w:rsidRPr="003C4D9A">
        <w:tc>
          <w:tcPr>
            <w:tcW w:w="70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w:t>
            </w:r>
          </w:p>
        </w:tc>
        <w:tc>
          <w:tcPr>
            <w:tcW w:w="34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Сумарні витрати малого підприємництва на виконання запланованого регулювання</w:t>
            </w:r>
          </w:p>
        </w:tc>
        <w:tc>
          <w:tcPr>
            <w:tcW w:w="276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c>
          <w:tcPr>
            <w:tcW w:w="2764"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r>
      <w:tr w:rsidR="003C4D9A" w:rsidRPr="003C4D9A">
        <w:tc>
          <w:tcPr>
            <w:tcW w:w="70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34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Бюджетні витрати на адміністрування регулювання суб’єктів малого підприємництва</w:t>
            </w:r>
          </w:p>
        </w:tc>
        <w:tc>
          <w:tcPr>
            <w:tcW w:w="276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5 843 09</w:t>
            </w:r>
          </w:p>
        </w:tc>
        <w:tc>
          <w:tcPr>
            <w:tcW w:w="2764"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5 843,09</w:t>
            </w:r>
          </w:p>
          <w:p w:rsidR="009942F0" w:rsidRPr="003C4D9A" w:rsidRDefault="009942F0" w:rsidP="00776251">
            <w:pPr>
              <w:spacing w:line="240" w:lineRule="auto"/>
              <w:contextualSpacing w:val="0"/>
              <w:rPr>
                <w:rFonts w:ascii="Times New Roman" w:eastAsia="Times New Roman" w:hAnsi="Times New Roman" w:cs="Times New Roman"/>
                <w:color w:val="auto"/>
                <w:sz w:val="24"/>
                <w:szCs w:val="24"/>
                <w:lang w:val="uk-UA"/>
              </w:rPr>
            </w:pPr>
          </w:p>
          <w:p w:rsidR="009942F0" w:rsidRPr="003C4D9A" w:rsidRDefault="009942F0" w:rsidP="00776251">
            <w:pPr>
              <w:spacing w:line="240" w:lineRule="auto"/>
              <w:contextualSpacing w:val="0"/>
              <w:rPr>
                <w:color w:val="auto"/>
                <w:lang w:val="uk-UA"/>
              </w:rPr>
            </w:pPr>
          </w:p>
        </w:tc>
      </w:tr>
      <w:tr w:rsidR="003C4D9A" w:rsidRPr="003C4D9A">
        <w:tc>
          <w:tcPr>
            <w:tcW w:w="709"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w:t>
            </w:r>
          </w:p>
        </w:tc>
        <w:tc>
          <w:tcPr>
            <w:tcW w:w="340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Сумарні витрати на виконання запланованого регулювання</w:t>
            </w:r>
          </w:p>
        </w:tc>
        <w:tc>
          <w:tcPr>
            <w:tcW w:w="2763"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7 187 518, 09</w:t>
            </w:r>
          </w:p>
        </w:tc>
        <w:tc>
          <w:tcPr>
            <w:tcW w:w="2764"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7 187 518, 09</w:t>
            </w:r>
          </w:p>
        </w:tc>
      </w:tr>
    </w:tbl>
    <w:p w:rsidR="008E7D2F" w:rsidRPr="003C4D9A" w:rsidRDefault="008E7D2F" w:rsidP="00776251">
      <w:pPr>
        <w:spacing w:after="240" w:line="240" w:lineRule="auto"/>
        <w:rPr>
          <w:color w:val="auto"/>
          <w:lang w:val="uk-UA"/>
        </w:rPr>
      </w:pPr>
    </w:p>
    <w:p w:rsidR="008E7D2F" w:rsidRPr="003C4D9A" w:rsidRDefault="00D62AB7" w:rsidP="00776251">
      <w:pPr>
        <w:spacing w:after="160" w:line="240" w:lineRule="auto"/>
        <w:rPr>
          <w:color w:val="auto"/>
          <w:lang w:val="uk-UA"/>
        </w:rPr>
      </w:pPr>
      <w:r w:rsidRPr="003C4D9A">
        <w:rPr>
          <w:rFonts w:ascii="Times New Roman" w:eastAsia="Times New Roman" w:hAnsi="Times New Roman" w:cs="Times New Roman"/>
          <w:b/>
          <w:color w:val="auto"/>
          <w:sz w:val="24"/>
          <w:szCs w:val="24"/>
          <w:lang w:val="uk-UA"/>
        </w:rPr>
        <w:t>5. Розроблення коригуючих (пом’якшувальних) заходів для малого підприємництва щодо запропонованого регулювання</w:t>
      </w:r>
    </w:p>
    <w:tbl>
      <w:tblPr>
        <w:tblStyle w:val="40"/>
        <w:tblW w:w="9632" w:type="dxa"/>
        <w:tblInd w:w="-114" w:type="dxa"/>
        <w:tblLayout w:type="fixed"/>
        <w:tblLook w:val="0400" w:firstRow="0" w:lastRow="0" w:firstColumn="0" w:lastColumn="0" w:noHBand="0" w:noVBand="1"/>
      </w:tblPr>
      <w:tblGrid>
        <w:gridCol w:w="6032"/>
        <w:gridCol w:w="3600"/>
      </w:tblGrid>
      <w:tr w:rsidR="003C4D9A" w:rsidRPr="003C4D9A">
        <w:tc>
          <w:tcPr>
            <w:tcW w:w="6032"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Процедура, що потребує корегування</w:t>
            </w:r>
          </w:p>
        </w:tc>
        <w:tc>
          <w:tcPr>
            <w:tcW w:w="36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Коригуючий механізм</w:t>
            </w:r>
          </w:p>
        </w:tc>
      </w:tr>
      <w:tr w:rsidR="003C4D9A" w:rsidRPr="003C4D9A">
        <w:tc>
          <w:tcPr>
            <w:tcW w:w="6032"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tc>
        <w:tc>
          <w:tcPr>
            <w:tcW w:w="3600"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tc>
      </w:tr>
    </w:tbl>
    <w:p w:rsidR="008E7D2F" w:rsidRPr="003C4D9A" w:rsidRDefault="008E7D2F" w:rsidP="00776251">
      <w:pPr>
        <w:spacing w:after="140" w:line="240" w:lineRule="auto"/>
        <w:rPr>
          <w:color w:val="auto"/>
          <w:lang w:val="uk-UA"/>
        </w:rPr>
      </w:pPr>
    </w:p>
    <w:tbl>
      <w:tblPr>
        <w:tblStyle w:val="30"/>
        <w:tblW w:w="9638" w:type="dxa"/>
        <w:tblInd w:w="-114" w:type="dxa"/>
        <w:tblLayout w:type="fixed"/>
        <w:tblLook w:val="0400" w:firstRow="0" w:lastRow="0" w:firstColumn="0" w:lastColumn="0" w:noHBand="0" w:noVBand="1"/>
      </w:tblPr>
      <w:tblGrid>
        <w:gridCol w:w="4530"/>
        <w:gridCol w:w="2581"/>
        <w:gridCol w:w="2527"/>
      </w:tblGrid>
      <w:tr w:rsidR="003C4D9A" w:rsidRPr="003C4D9A">
        <w:tc>
          <w:tcPr>
            <w:tcW w:w="4530"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Показник</w:t>
            </w:r>
          </w:p>
        </w:tc>
        <w:tc>
          <w:tcPr>
            <w:tcW w:w="2581" w:type="dxa"/>
            <w:tcBorders>
              <w:top w:val="single" w:sz="4" w:space="0" w:color="000000"/>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Сумарні витрати малого підприємництва на виконання запланованого регулювання за перший рік, гривень</w:t>
            </w: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lang w:val="uk-UA"/>
              </w:rPr>
              <w:t>Сумарні витрати малого підприємництва на виконання запланованого регулювання за п’ять років, гривень</w:t>
            </w:r>
          </w:p>
        </w:tc>
      </w:tr>
      <w:tr w:rsidR="003C4D9A" w:rsidRPr="003C4D9A">
        <w:tc>
          <w:tcPr>
            <w:tcW w:w="4530"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Заплановане регулювання</w:t>
            </w:r>
          </w:p>
        </w:tc>
        <w:tc>
          <w:tcPr>
            <w:tcW w:w="2581" w:type="dxa"/>
            <w:tcBorders>
              <w:left w:val="single" w:sz="4" w:space="0" w:color="000000"/>
              <w:bottom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7 181 675</w:t>
            </w:r>
          </w:p>
        </w:tc>
        <w:tc>
          <w:tcPr>
            <w:tcW w:w="2527"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9942F0"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7 181 675</w:t>
            </w:r>
          </w:p>
        </w:tc>
      </w:tr>
      <w:tr w:rsidR="003C4D9A" w:rsidRPr="003C4D9A">
        <w:tc>
          <w:tcPr>
            <w:tcW w:w="4530"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За умов застосування компенсаторних механізмів для малого підприємництва</w:t>
            </w:r>
          </w:p>
        </w:tc>
        <w:tc>
          <w:tcPr>
            <w:tcW w:w="2581"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tc>
        <w:tc>
          <w:tcPr>
            <w:tcW w:w="2527"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не передбачено</w:t>
            </w:r>
          </w:p>
        </w:tc>
      </w:tr>
      <w:tr w:rsidR="003C4D9A" w:rsidRPr="003C4D9A">
        <w:tc>
          <w:tcPr>
            <w:tcW w:w="4530"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Сумарно: зміна вартості регулювання малого підприємництва</w:t>
            </w:r>
          </w:p>
        </w:tc>
        <w:tc>
          <w:tcPr>
            <w:tcW w:w="2581" w:type="dxa"/>
            <w:tcBorders>
              <w:left w:val="single" w:sz="4" w:space="0" w:color="000000"/>
              <w:bottom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2527" w:type="dxa"/>
            <w:tcBorders>
              <w:left w:val="single" w:sz="4" w:space="0" w:color="000000"/>
              <w:bottom w:val="single" w:sz="4" w:space="0" w:color="000000"/>
              <w:right w:val="single" w:sz="4" w:space="0" w:color="000000"/>
            </w:tcBorders>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bl>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color w:val="auto"/>
          <w:sz w:val="24"/>
          <w:szCs w:val="24"/>
          <w:lang w:val="uk-UA"/>
        </w:rPr>
        <w:br/>
      </w:r>
      <w:r w:rsidRPr="003C4D9A">
        <w:rPr>
          <w:rFonts w:ascii="Times New Roman" w:eastAsia="Times New Roman" w:hAnsi="Times New Roman" w:cs="Times New Roman"/>
          <w:b/>
          <w:color w:val="auto"/>
          <w:sz w:val="24"/>
          <w:szCs w:val="24"/>
          <w:lang w:val="uk-UA"/>
        </w:rPr>
        <w:t>VII. Обґрунтування запропонованого строку дії регуляторного акта</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Запропонований термін дії акта:</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безстроково</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b/>
          <w:color w:val="auto"/>
          <w:sz w:val="24"/>
          <w:szCs w:val="24"/>
          <w:lang w:val="uk-UA"/>
        </w:rPr>
        <w:t>Обґрунтування запропонованого строку дії акта:</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Таким чином проблема буде вирішена на постійній основі, замість тимчасових заходів.</w:t>
      </w: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VIII. Визначення показників результативності дії регуляторного акта</w:t>
      </w:r>
    </w:p>
    <w:p w:rsidR="008E7D2F" w:rsidRPr="003C4D9A" w:rsidRDefault="00D62AB7" w:rsidP="00776251">
      <w:pPr>
        <w:spacing w:after="140" w:line="240" w:lineRule="auto"/>
        <w:rPr>
          <w:color w:val="auto"/>
          <w:lang w:val="uk-UA"/>
        </w:rPr>
      </w:pPr>
      <w:r w:rsidRPr="003C4D9A">
        <w:rPr>
          <w:rFonts w:ascii="Times New Roman" w:eastAsia="Times New Roman" w:hAnsi="Times New Roman" w:cs="Times New Roman"/>
          <w:color w:val="auto"/>
          <w:sz w:val="24"/>
          <w:szCs w:val="24"/>
          <w:lang w:val="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Style w:val="22"/>
        <w:tblW w:w="96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460"/>
        <w:gridCol w:w="1453"/>
        <w:gridCol w:w="1003"/>
        <w:gridCol w:w="1003"/>
        <w:gridCol w:w="1003"/>
        <w:gridCol w:w="1003"/>
        <w:gridCol w:w="1004"/>
      </w:tblGrid>
      <w:tr w:rsidR="003C4D9A" w:rsidRPr="003C4D9A" w:rsidTr="009969FC">
        <w:tc>
          <w:tcPr>
            <w:tcW w:w="707"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w:t>
            </w:r>
          </w:p>
        </w:tc>
        <w:tc>
          <w:tcPr>
            <w:tcW w:w="2460"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Назва показника</w:t>
            </w:r>
          </w:p>
        </w:tc>
        <w:tc>
          <w:tcPr>
            <w:tcW w:w="145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Одиниця виміру</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Зараз</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6 місяців</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1 рік</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3 роки</w:t>
            </w:r>
          </w:p>
        </w:tc>
        <w:tc>
          <w:tcPr>
            <w:tcW w:w="1004"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w:t>
            </w:r>
            <w:r w:rsidR="009969FC" w:rsidRPr="003C4D9A">
              <w:rPr>
                <w:rFonts w:ascii="Times New Roman" w:eastAsia="Times New Roman" w:hAnsi="Times New Roman" w:cs="Times New Roman"/>
                <w:b/>
                <w:color w:val="auto"/>
                <w:sz w:val="24"/>
                <w:szCs w:val="24"/>
                <w:lang w:val="uk-UA"/>
              </w:rPr>
              <w:t>5</w:t>
            </w:r>
            <w:r w:rsidRPr="003C4D9A">
              <w:rPr>
                <w:rFonts w:ascii="Times New Roman" w:eastAsia="Times New Roman" w:hAnsi="Times New Roman" w:cs="Times New Roman"/>
                <w:b/>
                <w:color w:val="auto"/>
                <w:sz w:val="24"/>
                <w:szCs w:val="24"/>
                <w:lang w:val="uk-UA"/>
              </w:rPr>
              <w:t>/ років</w:t>
            </w:r>
          </w:p>
        </w:tc>
      </w:tr>
      <w:tr w:rsidR="003C4D9A" w:rsidRPr="003C4D9A" w:rsidTr="009969FC">
        <w:tc>
          <w:tcPr>
            <w:tcW w:w="707"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w:t>
            </w:r>
          </w:p>
        </w:tc>
        <w:tc>
          <w:tcPr>
            <w:tcW w:w="2460"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Суб’єктів господарювання платників податків</w:t>
            </w:r>
            <w:r w:rsidR="00EA5596" w:rsidRPr="003C4D9A">
              <w:rPr>
                <w:rFonts w:ascii="Times New Roman" w:eastAsia="Times New Roman" w:hAnsi="Times New Roman" w:cs="Times New Roman"/>
                <w:color w:val="auto"/>
                <w:sz w:val="24"/>
                <w:szCs w:val="24"/>
                <w:lang w:val="uk-UA"/>
              </w:rPr>
              <w:t>, що здійснюють м’ясопереробну діяльність</w:t>
            </w:r>
          </w:p>
        </w:tc>
        <w:tc>
          <w:tcPr>
            <w:tcW w:w="145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одиниця</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621</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c>
          <w:tcPr>
            <w:tcW w:w="1004"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w:t>
            </w:r>
          </w:p>
        </w:tc>
      </w:tr>
      <w:tr w:rsidR="003C4D9A" w:rsidRPr="003C4D9A" w:rsidTr="009969FC">
        <w:tc>
          <w:tcPr>
            <w:tcW w:w="707"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1-1</w:t>
            </w:r>
          </w:p>
        </w:tc>
        <w:tc>
          <w:tcPr>
            <w:tcW w:w="2460"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Суб’єктів господарювання платників податків, що здійснюють забій тварин та/або птиці</w:t>
            </w:r>
          </w:p>
        </w:tc>
        <w:tc>
          <w:tcPr>
            <w:tcW w:w="1453"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одиниця</w:t>
            </w:r>
          </w:p>
        </w:tc>
        <w:tc>
          <w:tcPr>
            <w:tcW w:w="1003"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w:t>
            </w:r>
          </w:p>
        </w:tc>
        <w:tc>
          <w:tcPr>
            <w:tcW w:w="1003"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50</w:t>
            </w:r>
          </w:p>
        </w:tc>
        <w:tc>
          <w:tcPr>
            <w:tcW w:w="1003"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121</w:t>
            </w:r>
          </w:p>
        </w:tc>
        <w:tc>
          <w:tcPr>
            <w:tcW w:w="1004" w:type="dxa"/>
            <w:tcMar>
              <w:top w:w="57" w:type="dxa"/>
              <w:left w:w="57" w:type="dxa"/>
              <w:bottom w:w="57" w:type="dxa"/>
              <w:right w:w="57" w:type="dxa"/>
            </w:tcMar>
          </w:tcPr>
          <w:p w:rsidR="009942F0" w:rsidRPr="003C4D9A" w:rsidRDefault="009942F0" w:rsidP="00776251">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w:t>
            </w:r>
          </w:p>
        </w:tc>
      </w:tr>
      <w:tr w:rsidR="003C4D9A" w:rsidRPr="003C4D9A" w:rsidTr="009969FC">
        <w:tc>
          <w:tcPr>
            <w:tcW w:w="707"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w:t>
            </w:r>
          </w:p>
        </w:tc>
        <w:tc>
          <w:tcPr>
            <w:tcW w:w="2460"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Надходження до бюджету</w:t>
            </w:r>
          </w:p>
        </w:tc>
        <w:tc>
          <w:tcPr>
            <w:tcW w:w="145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Гривня</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4"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9969FC">
        <w:tc>
          <w:tcPr>
            <w:tcW w:w="707"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3</w:t>
            </w:r>
          </w:p>
        </w:tc>
        <w:tc>
          <w:tcPr>
            <w:tcW w:w="2460"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Розмір коштів, що витрачаються суб'єктами господарювання </w:t>
            </w:r>
            <w:r w:rsidR="009942F0" w:rsidRPr="003C4D9A">
              <w:rPr>
                <w:rFonts w:ascii="Times New Roman" w:eastAsia="Times New Roman" w:hAnsi="Times New Roman" w:cs="Times New Roman"/>
                <w:color w:val="auto"/>
                <w:sz w:val="24"/>
                <w:szCs w:val="24"/>
                <w:lang w:val="uk-UA"/>
              </w:rPr>
              <w:t>, що здійснюють м’ясоперер</w:t>
            </w:r>
            <w:r w:rsidR="009969FC" w:rsidRPr="003C4D9A">
              <w:rPr>
                <w:rFonts w:ascii="Times New Roman" w:eastAsia="Times New Roman" w:hAnsi="Times New Roman" w:cs="Times New Roman"/>
                <w:color w:val="auto"/>
                <w:sz w:val="24"/>
                <w:szCs w:val="24"/>
                <w:lang w:val="uk-UA"/>
              </w:rPr>
              <w:t>о</w:t>
            </w:r>
            <w:r w:rsidR="009942F0" w:rsidRPr="003C4D9A">
              <w:rPr>
                <w:rFonts w:ascii="Times New Roman" w:eastAsia="Times New Roman" w:hAnsi="Times New Roman" w:cs="Times New Roman"/>
                <w:color w:val="auto"/>
                <w:sz w:val="24"/>
                <w:szCs w:val="24"/>
                <w:lang w:val="uk-UA"/>
              </w:rPr>
              <w:t>бну діяльність</w:t>
            </w:r>
          </w:p>
        </w:tc>
        <w:tc>
          <w:tcPr>
            <w:tcW w:w="1453" w:type="dxa"/>
            <w:tcMar>
              <w:top w:w="57" w:type="dxa"/>
              <w:left w:w="57" w:type="dxa"/>
              <w:bottom w:w="57" w:type="dxa"/>
              <w:right w:w="57"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Гривня</w:t>
            </w:r>
          </w:p>
        </w:tc>
        <w:tc>
          <w:tcPr>
            <w:tcW w:w="1003" w:type="dxa"/>
            <w:tcMar>
              <w:top w:w="57" w:type="dxa"/>
              <w:left w:w="57" w:type="dxa"/>
              <w:bottom w:w="57" w:type="dxa"/>
              <w:right w:w="57" w:type="dxa"/>
            </w:tcMar>
          </w:tcPr>
          <w:p w:rsidR="008E7D2F" w:rsidRPr="003C4D9A" w:rsidRDefault="000E29D3"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32 </w:t>
            </w:r>
            <w:r w:rsidR="00D62AB7" w:rsidRPr="003C4D9A">
              <w:rPr>
                <w:rFonts w:ascii="Times New Roman" w:eastAsia="Times New Roman" w:hAnsi="Times New Roman" w:cs="Times New Roman"/>
                <w:color w:val="auto"/>
                <w:sz w:val="24"/>
                <w:szCs w:val="24"/>
                <w:lang w:val="uk-UA"/>
              </w:rPr>
              <w:t>913 000</w:t>
            </w:r>
          </w:p>
        </w:tc>
        <w:tc>
          <w:tcPr>
            <w:tcW w:w="1003" w:type="dxa"/>
            <w:tcMar>
              <w:top w:w="57" w:type="dxa"/>
              <w:left w:w="57" w:type="dxa"/>
              <w:bottom w:w="57" w:type="dxa"/>
              <w:right w:w="57" w:type="dxa"/>
            </w:tcMar>
          </w:tcPr>
          <w:p w:rsidR="008E7D2F" w:rsidRPr="003C4D9A" w:rsidRDefault="009969FC"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c>
          <w:tcPr>
            <w:tcW w:w="1003" w:type="dxa"/>
            <w:tcMar>
              <w:top w:w="57" w:type="dxa"/>
              <w:left w:w="57" w:type="dxa"/>
              <w:bottom w:w="57" w:type="dxa"/>
              <w:right w:w="57" w:type="dxa"/>
            </w:tcMar>
          </w:tcPr>
          <w:p w:rsidR="008E7D2F" w:rsidRPr="003C4D9A" w:rsidRDefault="009969FC"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c>
          <w:tcPr>
            <w:tcW w:w="1003" w:type="dxa"/>
            <w:tcMar>
              <w:top w:w="57" w:type="dxa"/>
              <w:left w:w="57" w:type="dxa"/>
              <w:bottom w:w="57" w:type="dxa"/>
              <w:right w:w="57" w:type="dxa"/>
            </w:tcMar>
          </w:tcPr>
          <w:p w:rsidR="008E7D2F" w:rsidRPr="003C4D9A" w:rsidRDefault="009969FC"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c>
          <w:tcPr>
            <w:tcW w:w="1004" w:type="dxa"/>
            <w:tcMar>
              <w:top w:w="57" w:type="dxa"/>
              <w:left w:w="57" w:type="dxa"/>
              <w:bottom w:w="57" w:type="dxa"/>
              <w:right w:w="57" w:type="dxa"/>
            </w:tcMar>
          </w:tcPr>
          <w:p w:rsidR="008E7D2F" w:rsidRPr="003C4D9A" w:rsidRDefault="009969FC" w:rsidP="00776251">
            <w:pPr>
              <w:spacing w:line="240" w:lineRule="auto"/>
              <w:contextualSpacing w:val="0"/>
              <w:rPr>
                <w:color w:val="auto"/>
                <w:lang w:val="uk-UA"/>
              </w:rPr>
            </w:pPr>
            <w:r w:rsidRPr="003C4D9A">
              <w:rPr>
                <w:rFonts w:ascii="Times New Roman" w:eastAsia="Times New Roman" w:hAnsi="Times New Roman" w:cs="Times New Roman"/>
                <w:color w:val="auto"/>
                <w:lang w:val="uk-UA"/>
              </w:rPr>
              <w:t>0</w:t>
            </w:r>
          </w:p>
        </w:tc>
      </w:tr>
      <w:tr w:rsidR="003C4D9A" w:rsidRPr="003C4D9A" w:rsidTr="009969FC">
        <w:tc>
          <w:tcPr>
            <w:tcW w:w="707"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3-1</w:t>
            </w:r>
          </w:p>
        </w:tc>
        <w:tc>
          <w:tcPr>
            <w:tcW w:w="2460"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Розмір коштів, що витрачаються суб'єктами господарювання, що здійснюють забій тварин та/або птиці</w:t>
            </w:r>
          </w:p>
        </w:tc>
        <w:tc>
          <w:tcPr>
            <w:tcW w:w="145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Гривня</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lang w:val="uk-UA"/>
              </w:rPr>
            </w:pPr>
            <w:r w:rsidRPr="003C4D9A">
              <w:rPr>
                <w:rFonts w:ascii="Times New Roman" w:eastAsia="Times New Roman" w:hAnsi="Times New Roman" w:cs="Times New Roman"/>
                <w:color w:val="auto"/>
                <w:lang w:val="uk-UA"/>
              </w:rPr>
              <w:t>6 413 000</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lang w:val="uk-UA"/>
              </w:rPr>
            </w:pPr>
            <w:r w:rsidRPr="003C4D9A">
              <w:rPr>
                <w:rFonts w:ascii="Times New Roman" w:eastAsia="Times New Roman" w:hAnsi="Times New Roman" w:cs="Times New Roman"/>
                <w:color w:val="auto"/>
                <w:lang w:val="uk-UA"/>
              </w:rPr>
              <w:t>-</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lang w:val="uk-UA"/>
              </w:rPr>
            </w:pPr>
            <w:r w:rsidRPr="003C4D9A">
              <w:rPr>
                <w:rFonts w:ascii="Times New Roman" w:eastAsia="Times New Roman" w:hAnsi="Times New Roman" w:cs="Times New Roman"/>
                <w:color w:val="auto"/>
                <w:lang w:val="uk-UA"/>
              </w:rPr>
              <w:t>-</w:t>
            </w:r>
          </w:p>
        </w:tc>
        <w:tc>
          <w:tcPr>
            <w:tcW w:w="1004"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lang w:val="uk-UA"/>
              </w:rPr>
            </w:pPr>
            <w:r w:rsidRPr="003C4D9A">
              <w:rPr>
                <w:rFonts w:ascii="Times New Roman" w:eastAsia="Times New Roman" w:hAnsi="Times New Roman" w:cs="Times New Roman"/>
                <w:color w:val="auto"/>
                <w:lang w:val="uk-UA"/>
              </w:rPr>
              <w:t>6 413 000</w:t>
            </w:r>
          </w:p>
        </w:tc>
      </w:tr>
      <w:tr w:rsidR="003C4D9A" w:rsidRPr="003C4D9A" w:rsidTr="009969FC">
        <w:tc>
          <w:tcPr>
            <w:tcW w:w="707"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4</w:t>
            </w:r>
          </w:p>
        </w:tc>
        <w:tc>
          <w:tcPr>
            <w:tcW w:w="2460"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Суб’єктів господарювання платників податків, що здійснюють м’ясопереробну </w:t>
            </w:r>
            <w:r w:rsidRPr="003C4D9A">
              <w:rPr>
                <w:rFonts w:ascii="Times New Roman" w:eastAsia="Times New Roman" w:hAnsi="Times New Roman" w:cs="Times New Roman"/>
                <w:color w:val="auto"/>
                <w:sz w:val="24"/>
                <w:szCs w:val="24"/>
                <w:lang w:val="uk-UA"/>
              </w:rPr>
              <w:lastRenderedPageBreak/>
              <w:t>діяльність</w:t>
            </w:r>
          </w:p>
        </w:tc>
        <w:tc>
          <w:tcPr>
            <w:tcW w:w="145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lastRenderedPageBreak/>
              <w:t>Години</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229</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17</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c>
          <w:tcPr>
            <w:tcW w:w="1004"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0</w:t>
            </w:r>
          </w:p>
        </w:tc>
      </w:tr>
      <w:tr w:rsidR="003C4D9A" w:rsidRPr="003C4D9A" w:rsidTr="009969FC">
        <w:tc>
          <w:tcPr>
            <w:tcW w:w="707"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4-1</w:t>
            </w:r>
          </w:p>
        </w:tc>
        <w:tc>
          <w:tcPr>
            <w:tcW w:w="2460"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Суб’єктів господарювання платників податків, що здійснюють забій тварин та/або птиці</w:t>
            </w:r>
          </w:p>
        </w:tc>
        <w:tc>
          <w:tcPr>
            <w:tcW w:w="145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Години</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0</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229</w:t>
            </w: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p>
        </w:tc>
        <w:tc>
          <w:tcPr>
            <w:tcW w:w="1003"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p>
        </w:tc>
        <w:tc>
          <w:tcPr>
            <w:tcW w:w="1004" w:type="dxa"/>
            <w:tcMar>
              <w:top w:w="57" w:type="dxa"/>
              <w:left w:w="57" w:type="dxa"/>
              <w:bottom w:w="57" w:type="dxa"/>
              <w:right w:w="57" w:type="dxa"/>
            </w:tcMar>
          </w:tcPr>
          <w:p w:rsidR="009969FC" w:rsidRPr="003C4D9A" w:rsidRDefault="009969FC" w:rsidP="009969FC">
            <w:pPr>
              <w:spacing w:line="240" w:lineRule="auto"/>
              <w:rPr>
                <w:rFonts w:ascii="Times New Roman" w:eastAsia="Times New Roman" w:hAnsi="Times New Roman" w:cs="Times New Roman"/>
                <w:color w:val="auto"/>
                <w:sz w:val="24"/>
                <w:szCs w:val="24"/>
                <w:lang w:val="uk-UA"/>
              </w:rPr>
            </w:pPr>
            <w:r w:rsidRPr="003C4D9A">
              <w:rPr>
                <w:rFonts w:ascii="Times New Roman" w:eastAsia="Times New Roman" w:hAnsi="Times New Roman" w:cs="Times New Roman"/>
                <w:color w:val="auto"/>
                <w:sz w:val="24"/>
                <w:szCs w:val="24"/>
                <w:lang w:val="uk-UA"/>
              </w:rPr>
              <w:t>229</w:t>
            </w:r>
          </w:p>
        </w:tc>
      </w:tr>
      <w:tr w:rsidR="003C4D9A" w:rsidRPr="003C4D9A" w:rsidTr="009969FC">
        <w:tc>
          <w:tcPr>
            <w:tcW w:w="707"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5</w:t>
            </w:r>
          </w:p>
        </w:tc>
        <w:tc>
          <w:tcPr>
            <w:tcW w:w="2460"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Рівень поінформованості суб'єктів господарювання та/або фізичних осіб з основних положень акта.</w:t>
            </w:r>
          </w:p>
        </w:tc>
        <w:tc>
          <w:tcPr>
            <w:tcW w:w="145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 xml:space="preserve">Відсотки </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c>
          <w:tcPr>
            <w:tcW w:w="1003"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c>
          <w:tcPr>
            <w:tcW w:w="1004" w:type="dxa"/>
            <w:tcMar>
              <w:top w:w="57" w:type="dxa"/>
              <w:left w:w="57" w:type="dxa"/>
              <w:bottom w:w="57" w:type="dxa"/>
              <w:right w:w="57" w:type="dxa"/>
            </w:tcMar>
          </w:tcPr>
          <w:p w:rsidR="009969FC" w:rsidRPr="003C4D9A" w:rsidRDefault="009969FC" w:rsidP="009969FC">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100</w:t>
            </w:r>
          </w:p>
        </w:tc>
      </w:tr>
    </w:tbl>
    <w:p w:rsidR="008E7D2F" w:rsidRPr="003C4D9A" w:rsidRDefault="008E7D2F" w:rsidP="00776251">
      <w:pPr>
        <w:spacing w:after="140" w:line="240" w:lineRule="auto"/>
        <w:rPr>
          <w:color w:val="auto"/>
          <w:lang w:val="uk-UA"/>
        </w:rPr>
      </w:pPr>
    </w:p>
    <w:p w:rsidR="008E7D2F" w:rsidRPr="003C4D9A" w:rsidRDefault="00D62AB7" w:rsidP="00776251">
      <w:pPr>
        <w:spacing w:after="140" w:line="240" w:lineRule="auto"/>
        <w:jc w:val="center"/>
        <w:rPr>
          <w:color w:val="auto"/>
          <w:lang w:val="uk-UA"/>
        </w:rPr>
      </w:pPr>
      <w:r w:rsidRPr="003C4D9A">
        <w:rPr>
          <w:rFonts w:ascii="Times New Roman" w:eastAsia="Times New Roman" w:hAnsi="Times New Roman" w:cs="Times New Roman"/>
          <w:b/>
          <w:color w:val="auto"/>
          <w:sz w:val="24"/>
          <w:szCs w:val="24"/>
          <w:lang w:val="uk-UA"/>
        </w:rPr>
        <w:t>IX. Визначення заходів, за допомогою яких здійснюватиметься відстеження результативності дії регуляторного акта</w:t>
      </w:r>
    </w:p>
    <w:tbl>
      <w:tblPr>
        <w:tblStyle w:val="1a"/>
        <w:tblW w:w="9638" w:type="dxa"/>
        <w:tblInd w:w="-110" w:type="dxa"/>
        <w:tblLayout w:type="fixed"/>
        <w:tblLook w:val="0400" w:firstRow="0" w:lastRow="0" w:firstColumn="0" w:lastColumn="0" w:noHBand="0" w:noVBand="1"/>
      </w:tblPr>
      <w:tblGrid>
        <w:gridCol w:w="2345"/>
        <w:gridCol w:w="3815"/>
        <w:gridCol w:w="3478"/>
      </w:tblGrid>
      <w:tr w:rsidR="003C4D9A" w:rsidRPr="003C4D9A">
        <w:tc>
          <w:tcPr>
            <w:tcW w:w="2345"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after="140"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Показник</w:t>
            </w:r>
          </w:p>
        </w:tc>
        <w:tc>
          <w:tcPr>
            <w:tcW w:w="3815" w:type="dxa"/>
            <w:tcBorders>
              <w:top w:val="single" w:sz="4" w:space="0" w:color="000000"/>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after="140"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Джерело даних для відслідковування зміни показника</w:t>
            </w:r>
          </w:p>
        </w:tc>
        <w:tc>
          <w:tcPr>
            <w:tcW w:w="34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after="140" w:line="240" w:lineRule="auto"/>
              <w:contextualSpacing w:val="0"/>
              <w:rPr>
                <w:color w:val="auto"/>
                <w:lang w:val="uk-UA"/>
              </w:rPr>
            </w:pPr>
            <w:r w:rsidRPr="003C4D9A">
              <w:rPr>
                <w:rFonts w:ascii="Times New Roman" w:eastAsia="Times New Roman" w:hAnsi="Times New Roman" w:cs="Times New Roman"/>
                <w:b/>
                <w:color w:val="auto"/>
                <w:sz w:val="24"/>
                <w:szCs w:val="24"/>
                <w:lang w:val="uk-UA"/>
              </w:rPr>
              <w:t>Запропоновані заходи з відстеження результативності акта</w:t>
            </w:r>
          </w:p>
        </w:tc>
      </w:tr>
      <w:tr w:rsidR="003C4D9A" w:rsidRPr="003C4D9A">
        <w:tc>
          <w:tcPr>
            <w:tcW w:w="234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Юридичних осіб платників податків</w:t>
            </w:r>
          </w:p>
        </w:tc>
        <w:tc>
          <w:tcPr>
            <w:tcW w:w="3815" w:type="dxa"/>
            <w:tcBorders>
              <w:left w:val="single" w:sz="4" w:space="0" w:color="000000"/>
              <w:bottom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Статистичні дані</w:t>
            </w:r>
          </w:p>
          <w:p w:rsidR="008E7D2F" w:rsidRPr="003C4D9A" w:rsidRDefault="008E7D2F" w:rsidP="00776251">
            <w:pPr>
              <w:spacing w:line="240" w:lineRule="auto"/>
              <w:contextualSpacing w:val="0"/>
              <w:rPr>
                <w:color w:val="auto"/>
                <w:lang w:val="uk-UA"/>
              </w:rPr>
            </w:pPr>
          </w:p>
        </w:tc>
        <w:tc>
          <w:tcPr>
            <w:tcW w:w="3478" w:type="dxa"/>
            <w:tcBorders>
              <w:left w:val="single" w:sz="4" w:space="0" w:color="000000"/>
              <w:bottom w:val="single" w:sz="4" w:space="0" w:color="000000"/>
              <w:right w:val="single" w:sz="4" w:space="0" w:color="000000"/>
            </w:tcBorders>
            <w:tcMar>
              <w:top w:w="55" w:type="dxa"/>
              <w:left w:w="55" w:type="dxa"/>
              <w:bottom w:w="55" w:type="dxa"/>
              <w:right w:w="55" w:type="dxa"/>
            </w:tcMar>
          </w:tcPr>
          <w:p w:rsidR="008E7D2F" w:rsidRPr="003C4D9A" w:rsidRDefault="00D62AB7" w:rsidP="00776251">
            <w:pPr>
              <w:spacing w:line="240" w:lineRule="auto"/>
              <w:contextualSpacing w:val="0"/>
              <w:rPr>
                <w:color w:val="auto"/>
                <w:lang w:val="uk-UA"/>
              </w:rPr>
            </w:pPr>
            <w:r w:rsidRPr="003C4D9A">
              <w:rPr>
                <w:rFonts w:ascii="Times New Roman" w:eastAsia="Times New Roman" w:hAnsi="Times New Roman" w:cs="Times New Roman"/>
                <w:color w:val="auto"/>
                <w:sz w:val="24"/>
                <w:szCs w:val="24"/>
                <w:lang w:val="uk-UA"/>
              </w:rPr>
              <w:t>Результативність акта буде відслідковуватись базуючись на статистичних даних.</w:t>
            </w:r>
          </w:p>
        </w:tc>
      </w:tr>
    </w:tbl>
    <w:p w:rsidR="00EA5596" w:rsidRPr="003C4D9A" w:rsidRDefault="00EA5596" w:rsidP="00776251">
      <w:pPr>
        <w:spacing w:after="140" w:line="240" w:lineRule="auto"/>
        <w:rPr>
          <w:color w:val="auto"/>
          <w:lang w:val="uk-UA"/>
        </w:rPr>
      </w:pPr>
    </w:p>
    <w:p w:rsidR="008E7D2F" w:rsidRPr="003C4D9A" w:rsidRDefault="00D62AB7" w:rsidP="00776251">
      <w:pPr>
        <w:tabs>
          <w:tab w:val="left" w:pos="1044"/>
        </w:tabs>
        <w:spacing w:after="140" w:line="240" w:lineRule="auto"/>
        <w:rPr>
          <w:color w:val="auto"/>
          <w:lang w:val="uk-UA"/>
        </w:rPr>
      </w:pPr>
      <w:r w:rsidRPr="003C4D9A">
        <w:rPr>
          <w:rFonts w:ascii="Times New Roman" w:eastAsia="Times New Roman" w:hAnsi="Times New Roman" w:cs="Times New Roman"/>
          <w:color w:val="auto"/>
          <w:sz w:val="24"/>
          <w:szCs w:val="24"/>
          <w:lang w:val="uk-UA"/>
        </w:rPr>
        <w:tab/>
      </w:r>
      <w:r w:rsidRPr="003C4D9A">
        <w:rPr>
          <w:rFonts w:ascii="Times New Roman" w:eastAsia="Times New Roman" w:hAnsi="Times New Roman" w:cs="Times New Roman"/>
          <w:b/>
          <w:color w:val="auto"/>
          <w:sz w:val="24"/>
          <w:szCs w:val="24"/>
          <w:lang w:val="uk-UA"/>
        </w:rPr>
        <w:t>Примітки:</w:t>
      </w:r>
    </w:p>
    <w:p w:rsidR="008E7D2F" w:rsidRPr="003C4D9A" w:rsidRDefault="00D62AB7" w:rsidP="00776251">
      <w:pPr>
        <w:numPr>
          <w:ilvl w:val="0"/>
          <w:numId w:val="4"/>
        </w:numPr>
        <w:tabs>
          <w:tab w:val="left" w:pos="1044"/>
        </w:tabs>
        <w:spacing w:after="140" w:line="240" w:lineRule="auto"/>
        <w:ind w:hanging="360"/>
        <w:rPr>
          <w:rFonts w:ascii="Times New Roman" w:eastAsia="Times New Roman" w:hAnsi="Times New Roman" w:cs="Times New Roman"/>
          <w:b/>
          <w:color w:val="auto"/>
          <w:sz w:val="24"/>
          <w:szCs w:val="24"/>
          <w:lang w:val="uk-UA"/>
        </w:rPr>
      </w:pPr>
      <w:r w:rsidRPr="003C4D9A">
        <w:rPr>
          <w:rFonts w:ascii="Times New Roman" w:eastAsia="Times New Roman" w:hAnsi="Times New Roman" w:cs="Times New Roman"/>
          <w:color w:val="auto"/>
          <w:sz w:val="24"/>
          <w:szCs w:val="24"/>
          <w:lang w:val="uk-UA"/>
        </w:rPr>
        <w:t xml:space="preserve">Важливо, що діючий регуляторний акт діє на 100% м’ясокомбінатів та м’ясопереробних підприємств, у тому числі </w:t>
      </w:r>
      <w:proofErr w:type="spellStart"/>
      <w:r w:rsidRPr="003C4D9A">
        <w:rPr>
          <w:rFonts w:ascii="Times New Roman" w:eastAsia="Times New Roman" w:hAnsi="Times New Roman" w:cs="Times New Roman"/>
          <w:color w:val="auto"/>
          <w:sz w:val="24"/>
          <w:szCs w:val="24"/>
          <w:lang w:val="uk-UA"/>
        </w:rPr>
        <w:t>новопобудовані</w:t>
      </w:r>
      <w:proofErr w:type="spellEnd"/>
      <w:r w:rsidRPr="003C4D9A">
        <w:rPr>
          <w:rFonts w:ascii="Times New Roman" w:eastAsia="Times New Roman" w:hAnsi="Times New Roman" w:cs="Times New Roman"/>
          <w:color w:val="auto"/>
          <w:sz w:val="24"/>
          <w:szCs w:val="24"/>
          <w:lang w:val="uk-UA"/>
        </w:rPr>
        <w:t xml:space="preserve"> м’ясокомбінати та/або м’ясопереробні підприємства. </w:t>
      </w:r>
    </w:p>
    <w:p w:rsidR="008E7D2F" w:rsidRPr="003C4D9A" w:rsidRDefault="00D62AB7" w:rsidP="00EA5596">
      <w:pPr>
        <w:numPr>
          <w:ilvl w:val="0"/>
          <w:numId w:val="4"/>
        </w:numPr>
        <w:tabs>
          <w:tab w:val="left" w:pos="1044"/>
          <w:tab w:val="left" w:pos="2552"/>
        </w:tabs>
        <w:spacing w:after="140" w:line="240" w:lineRule="auto"/>
        <w:ind w:hanging="360"/>
        <w:rPr>
          <w:rFonts w:ascii="Times New Roman" w:eastAsia="Times New Roman" w:hAnsi="Times New Roman" w:cs="Times New Roman"/>
          <w:b/>
          <w:color w:val="auto"/>
          <w:sz w:val="24"/>
          <w:szCs w:val="24"/>
          <w:lang w:val="uk-UA"/>
        </w:rPr>
      </w:pPr>
      <w:r w:rsidRPr="003C4D9A">
        <w:rPr>
          <w:rFonts w:ascii="Times New Roman" w:eastAsia="Times New Roman" w:hAnsi="Times New Roman" w:cs="Times New Roman"/>
          <w:color w:val="auto"/>
          <w:sz w:val="24"/>
          <w:szCs w:val="24"/>
          <w:lang w:val="uk-UA"/>
        </w:rPr>
        <w:t xml:space="preserve">При аналізі регуляторного впливу наведені розрахунки складені при припущенні, що всі м’ясокомбінати та м’ясопереробні підприємства підпадають під клас наслідків СС2. Розрахунки аналізу регуляторного впливу ніяким чином не враховують введення в експлуатацію об’єктів за класом наслідків (відповідальності) СС3, що викликані іншими критеріями, ніж </w:t>
      </w:r>
      <w:r w:rsidR="009969FC" w:rsidRPr="003C4D9A">
        <w:rPr>
          <w:rFonts w:ascii="Times New Roman" w:eastAsia="Times New Roman" w:hAnsi="Times New Roman" w:cs="Times New Roman"/>
          <w:color w:val="auto"/>
          <w:sz w:val="24"/>
          <w:szCs w:val="24"/>
          <w:lang w:val="uk-UA"/>
        </w:rPr>
        <w:t xml:space="preserve">державна </w:t>
      </w:r>
      <w:r w:rsidRPr="003C4D9A">
        <w:rPr>
          <w:rFonts w:ascii="Times New Roman" w:eastAsia="Times New Roman" w:hAnsi="Times New Roman" w:cs="Times New Roman"/>
          <w:color w:val="auto"/>
          <w:sz w:val="24"/>
          <w:szCs w:val="24"/>
          <w:lang w:val="uk-UA"/>
        </w:rPr>
        <w:t xml:space="preserve">екологічна експертиза.  </w:t>
      </w:r>
    </w:p>
    <w:p w:rsidR="008E7D2F" w:rsidRPr="003C4D9A" w:rsidRDefault="00D62AB7" w:rsidP="00776251">
      <w:pPr>
        <w:numPr>
          <w:ilvl w:val="0"/>
          <w:numId w:val="4"/>
        </w:numPr>
        <w:tabs>
          <w:tab w:val="left" w:pos="1044"/>
        </w:tabs>
        <w:spacing w:after="140" w:line="240" w:lineRule="auto"/>
        <w:ind w:hanging="360"/>
        <w:rPr>
          <w:rFonts w:ascii="Times New Roman" w:eastAsia="Times New Roman" w:hAnsi="Times New Roman" w:cs="Times New Roman"/>
          <w:b/>
          <w:color w:val="auto"/>
          <w:sz w:val="24"/>
          <w:szCs w:val="24"/>
          <w:lang w:val="uk-UA"/>
        </w:rPr>
      </w:pPr>
      <w:r w:rsidRPr="003C4D9A">
        <w:rPr>
          <w:rFonts w:ascii="Times New Roman" w:eastAsia="Times New Roman" w:hAnsi="Times New Roman" w:cs="Times New Roman"/>
          <w:color w:val="auto"/>
          <w:sz w:val="24"/>
          <w:szCs w:val="24"/>
          <w:lang w:val="uk-UA"/>
        </w:rPr>
        <w:t>Розрахунки не містять інформацію про тіньовий обіг коштів пов’я</w:t>
      </w:r>
      <w:r w:rsidR="009969FC" w:rsidRPr="003C4D9A">
        <w:rPr>
          <w:rFonts w:ascii="Times New Roman" w:eastAsia="Times New Roman" w:hAnsi="Times New Roman" w:cs="Times New Roman"/>
          <w:color w:val="auto"/>
          <w:sz w:val="24"/>
          <w:szCs w:val="24"/>
          <w:lang w:val="uk-UA"/>
        </w:rPr>
        <w:t xml:space="preserve">заних із корупційною складовою, а також суб’єктів господарювання, які наразі не обліковуються державними органами. </w:t>
      </w:r>
    </w:p>
    <w:p w:rsidR="008E7D2F" w:rsidRPr="003C4D9A" w:rsidRDefault="008E7D2F" w:rsidP="00776251">
      <w:pPr>
        <w:tabs>
          <w:tab w:val="left" w:pos="1044"/>
        </w:tabs>
        <w:spacing w:after="140" w:line="240" w:lineRule="auto"/>
        <w:ind w:left="720"/>
        <w:rPr>
          <w:color w:val="auto"/>
          <w:lang w:val="uk-UA"/>
        </w:rPr>
      </w:pPr>
      <w:bookmarkStart w:id="28" w:name="_30j0zll" w:colFirst="0" w:colLast="0"/>
      <w:bookmarkEnd w:id="28"/>
    </w:p>
    <w:sectPr w:rsidR="008E7D2F" w:rsidRPr="003C4D9A">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6FE"/>
    <w:multiLevelType w:val="multilevel"/>
    <w:tmpl w:val="A6BE4A96"/>
    <w:lvl w:ilvl="0">
      <w:start w:val="1"/>
      <w:numFmt w:val="bullet"/>
      <w:lvlText w:val="•"/>
      <w:lvlJc w:val="left"/>
      <w:pPr>
        <w:ind w:left="720" w:firstLine="1080"/>
      </w:pPr>
      <w:rPr>
        <w:rFonts w:ascii="Arial" w:eastAsia="Arial" w:hAnsi="Arial" w:cs="Arial"/>
      </w:rPr>
    </w:lvl>
    <w:lvl w:ilvl="1">
      <w:start w:val="1"/>
      <w:numFmt w:val="bullet"/>
      <w:lvlText w:val="◦"/>
      <w:lvlJc w:val="left"/>
      <w:pPr>
        <w:ind w:left="108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1800" w:firstLine="3240"/>
      </w:pPr>
      <w:rPr>
        <w:rFonts w:ascii="Arial" w:eastAsia="Arial" w:hAnsi="Arial" w:cs="Arial"/>
      </w:rPr>
    </w:lvl>
    <w:lvl w:ilvl="4">
      <w:start w:val="1"/>
      <w:numFmt w:val="bullet"/>
      <w:lvlText w:val="◦"/>
      <w:lvlJc w:val="left"/>
      <w:pPr>
        <w:ind w:left="2160" w:firstLine="3960"/>
      </w:pPr>
      <w:rPr>
        <w:rFonts w:ascii="Arial" w:eastAsia="Arial" w:hAnsi="Arial" w:cs="Arial"/>
      </w:rPr>
    </w:lvl>
    <w:lvl w:ilvl="5">
      <w:start w:val="1"/>
      <w:numFmt w:val="bullet"/>
      <w:lvlText w:val="▪"/>
      <w:lvlJc w:val="left"/>
      <w:pPr>
        <w:ind w:left="2520" w:firstLine="4680"/>
      </w:pPr>
      <w:rPr>
        <w:rFonts w:ascii="Arial" w:eastAsia="Arial" w:hAnsi="Arial" w:cs="Arial"/>
      </w:rPr>
    </w:lvl>
    <w:lvl w:ilvl="6">
      <w:start w:val="1"/>
      <w:numFmt w:val="bullet"/>
      <w:lvlText w:val="•"/>
      <w:lvlJc w:val="left"/>
      <w:pPr>
        <w:ind w:left="2880" w:firstLine="5400"/>
      </w:pPr>
      <w:rPr>
        <w:rFonts w:ascii="Arial" w:eastAsia="Arial" w:hAnsi="Arial" w:cs="Arial"/>
      </w:rPr>
    </w:lvl>
    <w:lvl w:ilvl="7">
      <w:start w:val="1"/>
      <w:numFmt w:val="bullet"/>
      <w:lvlText w:val="◦"/>
      <w:lvlJc w:val="left"/>
      <w:pPr>
        <w:ind w:left="3240" w:firstLine="6120"/>
      </w:pPr>
      <w:rPr>
        <w:rFonts w:ascii="Arial" w:eastAsia="Arial" w:hAnsi="Arial" w:cs="Arial"/>
      </w:rPr>
    </w:lvl>
    <w:lvl w:ilvl="8">
      <w:start w:val="1"/>
      <w:numFmt w:val="bullet"/>
      <w:lvlText w:val="▪"/>
      <w:lvlJc w:val="left"/>
      <w:pPr>
        <w:ind w:left="3600" w:firstLine="6840"/>
      </w:pPr>
      <w:rPr>
        <w:rFonts w:ascii="Arial" w:eastAsia="Arial" w:hAnsi="Arial" w:cs="Arial"/>
      </w:rPr>
    </w:lvl>
  </w:abstractNum>
  <w:abstractNum w:abstractNumId="1" w15:restartNumberingAfterBreak="0">
    <w:nsid w:val="1986669D"/>
    <w:multiLevelType w:val="multilevel"/>
    <w:tmpl w:val="B70E2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18730FA"/>
    <w:multiLevelType w:val="multilevel"/>
    <w:tmpl w:val="53DCB0C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659E3717"/>
    <w:multiLevelType w:val="multilevel"/>
    <w:tmpl w:val="598CD4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2F"/>
    <w:rsid w:val="00066FAD"/>
    <w:rsid w:val="000C4764"/>
    <w:rsid w:val="000E29D3"/>
    <w:rsid w:val="00180D28"/>
    <w:rsid w:val="002E028C"/>
    <w:rsid w:val="003618B2"/>
    <w:rsid w:val="003C4D9A"/>
    <w:rsid w:val="004012D2"/>
    <w:rsid w:val="004C4060"/>
    <w:rsid w:val="005306F6"/>
    <w:rsid w:val="00630920"/>
    <w:rsid w:val="006F4BF4"/>
    <w:rsid w:val="00701C07"/>
    <w:rsid w:val="00776251"/>
    <w:rsid w:val="0079265A"/>
    <w:rsid w:val="007B42CF"/>
    <w:rsid w:val="00844885"/>
    <w:rsid w:val="008E7D2F"/>
    <w:rsid w:val="00975A7B"/>
    <w:rsid w:val="009942F0"/>
    <w:rsid w:val="009969FC"/>
    <w:rsid w:val="00A03E01"/>
    <w:rsid w:val="00A300C3"/>
    <w:rsid w:val="00A835CF"/>
    <w:rsid w:val="00AC526B"/>
    <w:rsid w:val="00AF0827"/>
    <w:rsid w:val="00BE466E"/>
    <w:rsid w:val="00BF326A"/>
    <w:rsid w:val="00C17AA9"/>
    <w:rsid w:val="00C8422E"/>
    <w:rsid w:val="00C96676"/>
    <w:rsid w:val="00CC603C"/>
    <w:rsid w:val="00CD03F3"/>
    <w:rsid w:val="00D62AB7"/>
    <w:rsid w:val="00D9782F"/>
    <w:rsid w:val="00DA5B62"/>
    <w:rsid w:val="00DC1E6A"/>
    <w:rsid w:val="00DF7605"/>
    <w:rsid w:val="00EA354E"/>
    <w:rsid w:val="00EA4561"/>
    <w:rsid w:val="00EA5596"/>
    <w:rsid w:val="00EC6351"/>
    <w:rsid w:val="00ED3FAD"/>
    <w:rsid w:val="00FB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041F0-7878-4AC5-B105-8678E700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line="240" w:lineRule="auto"/>
      <w:outlineLvl w:val="0"/>
    </w:pPr>
    <w:rPr>
      <w:sz w:val="40"/>
      <w:szCs w:val="40"/>
    </w:rPr>
  </w:style>
  <w:style w:type="paragraph" w:styleId="2">
    <w:name w:val="heading 2"/>
    <w:basedOn w:val="a"/>
    <w:next w:val="a"/>
    <w:pPr>
      <w:keepNext/>
      <w:keepLines/>
      <w:spacing w:before="360" w:after="120" w:line="240" w:lineRule="auto"/>
      <w:outlineLvl w:val="1"/>
    </w:pPr>
    <w:rPr>
      <w:sz w:val="32"/>
      <w:szCs w:val="32"/>
    </w:rPr>
  </w:style>
  <w:style w:type="paragraph" w:styleId="3">
    <w:name w:val="heading 3"/>
    <w:basedOn w:val="a"/>
    <w:next w:val="a"/>
    <w:pPr>
      <w:keepNext/>
      <w:keepLines/>
      <w:spacing w:before="320" w:after="80" w:line="240" w:lineRule="auto"/>
      <w:outlineLvl w:val="2"/>
    </w:pPr>
    <w:rPr>
      <w:color w:val="434343"/>
      <w:sz w:val="28"/>
      <w:szCs w:val="28"/>
    </w:rPr>
  </w:style>
  <w:style w:type="paragraph" w:styleId="4">
    <w:name w:val="heading 4"/>
    <w:basedOn w:val="a"/>
    <w:next w:val="a"/>
    <w:pPr>
      <w:keepNext/>
      <w:keepLines/>
      <w:spacing w:before="280" w:after="80" w:line="240" w:lineRule="auto"/>
      <w:outlineLvl w:val="3"/>
    </w:pPr>
    <w:rPr>
      <w:color w:val="666666"/>
      <w:sz w:val="24"/>
      <w:szCs w:val="24"/>
    </w:rPr>
  </w:style>
  <w:style w:type="paragraph" w:styleId="5">
    <w:name w:val="heading 5"/>
    <w:basedOn w:val="a"/>
    <w:next w:val="a"/>
    <w:pPr>
      <w:keepNext/>
      <w:keepLines/>
      <w:spacing w:before="240" w:after="80" w:line="240" w:lineRule="auto"/>
      <w:outlineLvl w:val="4"/>
    </w:pPr>
    <w:rPr>
      <w:color w:val="666666"/>
    </w:rPr>
  </w:style>
  <w:style w:type="paragraph" w:styleId="6">
    <w:name w:val="heading 6"/>
    <w:basedOn w:val="a"/>
    <w:next w:val="a"/>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line="240" w:lineRule="auto"/>
    </w:pPr>
    <w:rPr>
      <w:sz w:val="52"/>
      <w:szCs w:val="52"/>
    </w:rPr>
  </w:style>
  <w:style w:type="paragraph" w:styleId="a4">
    <w:name w:val="Subtitle"/>
    <w:basedOn w:val="a"/>
    <w:next w:val="a"/>
    <w:pPr>
      <w:keepNext/>
      <w:keepLines/>
      <w:spacing w:after="320" w:line="240" w:lineRule="auto"/>
    </w:pPr>
    <w:rPr>
      <w:color w:val="666666"/>
      <w:sz w:val="30"/>
      <w:szCs w:val="30"/>
    </w:rPr>
  </w:style>
  <w:style w:type="table" w:customStyle="1" w:styleId="21">
    <w:name w:val="21"/>
    <w:basedOn w:val="TableNormal"/>
    <w:pPr>
      <w:contextualSpacing/>
    </w:pPr>
    <w:tblPr>
      <w:tblStyleRowBandSize w:val="1"/>
      <w:tblStyleColBandSize w:val="1"/>
      <w:tblCellMar>
        <w:left w:w="115" w:type="dxa"/>
        <w:right w:w="115" w:type="dxa"/>
      </w:tblCellMar>
    </w:tblPr>
  </w:style>
  <w:style w:type="table" w:customStyle="1" w:styleId="20">
    <w:name w:val="20"/>
    <w:basedOn w:val="TableNormal"/>
    <w:pPr>
      <w:contextualSpacing/>
    </w:pPr>
    <w:tblPr>
      <w:tblStyleRowBandSize w:val="1"/>
      <w:tblStyleColBandSize w:val="1"/>
      <w:tblCellMar>
        <w:left w:w="115" w:type="dxa"/>
        <w:right w:w="115" w:type="dxa"/>
      </w:tblCellMar>
    </w:tblPr>
  </w:style>
  <w:style w:type="table" w:customStyle="1" w:styleId="19">
    <w:name w:val="19"/>
    <w:basedOn w:val="TableNormal"/>
    <w:pPr>
      <w:contextualSpacing/>
    </w:pPr>
    <w:tblPr>
      <w:tblStyleRowBandSize w:val="1"/>
      <w:tblStyleColBandSize w:val="1"/>
      <w:tblCellMar>
        <w:left w:w="115" w:type="dxa"/>
        <w:right w:w="115" w:type="dxa"/>
      </w:tblCellMar>
    </w:tblPr>
  </w:style>
  <w:style w:type="table" w:customStyle="1" w:styleId="18">
    <w:name w:val="18"/>
    <w:basedOn w:val="TableNormal"/>
    <w:pPr>
      <w:contextualSpacing/>
    </w:pPr>
    <w:tblPr>
      <w:tblStyleRowBandSize w:val="1"/>
      <w:tblStyleColBandSize w:val="1"/>
      <w:tblCellMar>
        <w:left w:w="115" w:type="dxa"/>
        <w:right w:w="115" w:type="dxa"/>
      </w:tblCellMar>
    </w:tblPr>
  </w:style>
  <w:style w:type="table" w:customStyle="1" w:styleId="17">
    <w:name w:val="17"/>
    <w:basedOn w:val="TableNormal"/>
    <w:pPr>
      <w:contextualSpacing/>
    </w:pPr>
    <w:tblPr>
      <w:tblStyleRowBandSize w:val="1"/>
      <w:tblStyleColBandSize w:val="1"/>
      <w:tblCellMar>
        <w:left w:w="115" w:type="dxa"/>
        <w:right w:w="115" w:type="dxa"/>
      </w:tblCellMar>
    </w:tblPr>
  </w:style>
  <w:style w:type="table" w:customStyle="1" w:styleId="16">
    <w:name w:val="16"/>
    <w:basedOn w:val="TableNormal"/>
    <w:pPr>
      <w:contextualSpacing/>
    </w:pPr>
    <w:tblPr>
      <w:tblStyleRowBandSize w:val="1"/>
      <w:tblStyleColBandSize w:val="1"/>
      <w:tblCellMar>
        <w:left w:w="115" w:type="dxa"/>
        <w:right w:w="115" w:type="dxa"/>
      </w:tblCellMar>
    </w:tblPr>
  </w:style>
  <w:style w:type="table" w:customStyle="1" w:styleId="15">
    <w:name w:val="15"/>
    <w:basedOn w:val="TableNormal"/>
    <w:pPr>
      <w:contextualSpacing/>
    </w:pPr>
    <w:tblPr>
      <w:tblStyleRowBandSize w:val="1"/>
      <w:tblStyleColBandSize w:val="1"/>
      <w:tblCellMar>
        <w:left w:w="115" w:type="dxa"/>
        <w:right w:w="115" w:type="dxa"/>
      </w:tblCellMar>
    </w:tblPr>
  </w:style>
  <w:style w:type="table" w:customStyle="1" w:styleId="14">
    <w:name w:val="14"/>
    <w:basedOn w:val="TableNormal"/>
    <w:pPr>
      <w:contextualSpacing/>
    </w:pPr>
    <w:tblPr>
      <w:tblStyleRowBandSize w:val="1"/>
      <w:tblStyleColBandSize w:val="1"/>
      <w:tblCellMar>
        <w:left w:w="115" w:type="dxa"/>
        <w:right w:w="115" w:type="dxa"/>
      </w:tblCellMar>
    </w:tblPr>
  </w:style>
  <w:style w:type="table" w:customStyle="1" w:styleId="13">
    <w:name w:val="13"/>
    <w:basedOn w:val="TableNormal"/>
    <w:pPr>
      <w:contextualSpacing/>
    </w:pPr>
    <w:tblPr>
      <w:tblStyleRowBandSize w:val="1"/>
      <w:tblStyleColBandSize w:val="1"/>
      <w:tblCellMar>
        <w:left w:w="115" w:type="dxa"/>
        <w:right w:w="115" w:type="dxa"/>
      </w:tblCellMar>
    </w:tblPr>
  </w:style>
  <w:style w:type="table" w:customStyle="1" w:styleId="12">
    <w:name w:val="12"/>
    <w:basedOn w:val="TableNormal"/>
    <w:pPr>
      <w:contextualSpacing/>
    </w:pPr>
    <w:tblPr>
      <w:tblStyleRowBandSize w:val="1"/>
      <w:tblStyleColBandSize w:val="1"/>
      <w:tblCellMar>
        <w:left w:w="115" w:type="dxa"/>
        <w:right w:w="115" w:type="dxa"/>
      </w:tblCellMar>
    </w:tblPr>
  </w:style>
  <w:style w:type="table" w:customStyle="1" w:styleId="11">
    <w:name w:val="11"/>
    <w:basedOn w:val="TableNormal"/>
    <w:pPr>
      <w:contextualSpacing/>
    </w:pPr>
    <w:tblPr>
      <w:tblStyleRowBandSize w:val="1"/>
      <w:tblStyleColBandSize w:val="1"/>
      <w:tblCellMar>
        <w:left w:w="115" w:type="dxa"/>
        <w:right w:w="115" w:type="dxa"/>
      </w:tblCellMar>
    </w:tblPr>
  </w:style>
  <w:style w:type="table" w:customStyle="1" w:styleId="10">
    <w:name w:val="10"/>
    <w:basedOn w:val="TableNormal"/>
    <w:pPr>
      <w:contextualSpacing/>
    </w:pPr>
    <w:tblPr>
      <w:tblStyleRowBandSize w:val="1"/>
      <w:tblStyleColBandSize w:val="1"/>
      <w:tblCellMar>
        <w:left w:w="115" w:type="dxa"/>
        <w:right w:w="115" w:type="dxa"/>
      </w:tblCellMar>
    </w:tbl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0">
    <w:name w:val="6"/>
    <w:basedOn w:val="TableNormal"/>
    <w:pPr>
      <w:contextualSpacing/>
    </w:pPr>
    <w:tblPr>
      <w:tblStyleRowBandSize w:val="1"/>
      <w:tblStyleColBandSize w:val="1"/>
      <w:tblCellMar>
        <w:left w:w="115" w:type="dxa"/>
        <w:right w:w="115" w:type="dxa"/>
      </w:tblCellMar>
    </w:tblPr>
  </w:style>
  <w:style w:type="table" w:customStyle="1" w:styleId="50">
    <w:name w:val="5"/>
    <w:basedOn w:val="TableNormal"/>
    <w:pPr>
      <w:contextualSpacing/>
    </w:pPr>
    <w:tblPr>
      <w:tblStyleRowBandSize w:val="1"/>
      <w:tblStyleColBandSize w:val="1"/>
      <w:tblCellMar>
        <w:left w:w="115" w:type="dxa"/>
        <w:right w:w="115" w:type="dxa"/>
      </w:tblCellMar>
    </w:tblPr>
  </w:style>
  <w:style w:type="table" w:customStyle="1" w:styleId="40">
    <w:name w:val="4"/>
    <w:basedOn w:val="TableNormal"/>
    <w:pPr>
      <w:contextualSpacing/>
    </w:pPr>
    <w:tblPr>
      <w:tblStyleRowBandSize w:val="1"/>
      <w:tblStyleColBandSize w:val="1"/>
      <w:tblCellMar>
        <w:left w:w="115" w:type="dxa"/>
        <w:right w:w="115" w:type="dxa"/>
      </w:tblCellMar>
    </w:tblPr>
  </w:style>
  <w:style w:type="table" w:customStyle="1" w:styleId="30">
    <w:name w:val="3"/>
    <w:basedOn w:val="TableNormal"/>
    <w:pPr>
      <w:contextualSpacing/>
    </w:pPr>
    <w:tblPr>
      <w:tblStyleRowBandSize w:val="1"/>
      <w:tblStyleColBandSize w:val="1"/>
      <w:tblCellMar>
        <w:left w:w="115" w:type="dxa"/>
        <w:right w:w="115" w:type="dxa"/>
      </w:tblCellMar>
    </w:tblPr>
  </w:style>
  <w:style w:type="table" w:customStyle="1" w:styleId="22">
    <w:name w:val="2"/>
    <w:basedOn w:val="TableNormal"/>
    <w:pPr>
      <w:contextualSpacing/>
    </w:pPr>
    <w:tblPr>
      <w:tblStyleRowBandSize w:val="1"/>
      <w:tblStyleColBandSize w:val="1"/>
      <w:tblCellMar>
        <w:left w:w="115" w:type="dxa"/>
        <w:right w:w="115" w:type="dxa"/>
      </w:tblCellMar>
    </w:tblPr>
  </w:style>
  <w:style w:type="table" w:customStyle="1" w:styleId="1a">
    <w:name w:val="1"/>
    <w:basedOn w:val="TableNormal"/>
    <w:pPr>
      <w:contextualSpacing/>
    </w:pPr>
    <w:tblPr>
      <w:tblStyleRowBandSize w:val="1"/>
      <w:tblStyleColBandSize w:val="1"/>
      <w:tblCellMar>
        <w:left w:w="115" w:type="dxa"/>
        <w:right w:w="115" w:type="dxa"/>
      </w:tblCellMar>
    </w:tblPr>
  </w:style>
  <w:style w:type="character" w:styleId="a5">
    <w:name w:val="Placeholder Text"/>
    <w:basedOn w:val="a0"/>
    <w:uiPriority w:val="99"/>
    <w:semiHidden/>
    <w:rsid w:val="00701C07"/>
    <w:rPr>
      <w:color w:val="808080"/>
    </w:rPr>
  </w:style>
  <w:style w:type="character" w:styleId="a6">
    <w:name w:val="annotation reference"/>
    <w:basedOn w:val="a0"/>
    <w:uiPriority w:val="99"/>
    <w:semiHidden/>
    <w:unhideWhenUsed/>
    <w:rsid w:val="002E028C"/>
    <w:rPr>
      <w:sz w:val="16"/>
      <w:szCs w:val="16"/>
    </w:rPr>
  </w:style>
  <w:style w:type="paragraph" w:styleId="a7">
    <w:name w:val="annotation text"/>
    <w:basedOn w:val="a"/>
    <w:link w:val="a8"/>
    <w:uiPriority w:val="99"/>
    <w:semiHidden/>
    <w:unhideWhenUsed/>
    <w:rsid w:val="002E028C"/>
    <w:pPr>
      <w:spacing w:line="240" w:lineRule="auto"/>
    </w:pPr>
    <w:rPr>
      <w:sz w:val="20"/>
      <w:szCs w:val="20"/>
    </w:rPr>
  </w:style>
  <w:style w:type="character" w:customStyle="1" w:styleId="a8">
    <w:name w:val="Текст примечания Знак"/>
    <w:basedOn w:val="a0"/>
    <w:link w:val="a7"/>
    <w:uiPriority w:val="99"/>
    <w:semiHidden/>
    <w:rsid w:val="002E028C"/>
    <w:rPr>
      <w:sz w:val="20"/>
      <w:szCs w:val="20"/>
    </w:rPr>
  </w:style>
  <w:style w:type="paragraph" w:styleId="a9">
    <w:name w:val="annotation subject"/>
    <w:basedOn w:val="a7"/>
    <w:next w:val="a7"/>
    <w:link w:val="aa"/>
    <w:uiPriority w:val="99"/>
    <w:semiHidden/>
    <w:unhideWhenUsed/>
    <w:rsid w:val="002E028C"/>
    <w:rPr>
      <w:b/>
      <w:bCs/>
    </w:rPr>
  </w:style>
  <w:style w:type="character" w:customStyle="1" w:styleId="aa">
    <w:name w:val="Тема примечания Знак"/>
    <w:basedOn w:val="a8"/>
    <w:link w:val="a9"/>
    <w:uiPriority w:val="99"/>
    <w:semiHidden/>
    <w:rsid w:val="002E028C"/>
    <w:rPr>
      <w:b/>
      <w:bCs/>
      <w:sz w:val="20"/>
      <w:szCs w:val="20"/>
    </w:rPr>
  </w:style>
  <w:style w:type="paragraph" w:styleId="ab">
    <w:name w:val="Balloon Text"/>
    <w:basedOn w:val="a"/>
    <w:link w:val="ac"/>
    <w:uiPriority w:val="99"/>
    <w:semiHidden/>
    <w:unhideWhenUsed/>
    <w:rsid w:val="002E028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028C"/>
    <w:rPr>
      <w:rFonts w:ascii="Segoe UI" w:hAnsi="Segoe UI" w:cs="Segoe UI"/>
      <w:sz w:val="18"/>
      <w:szCs w:val="18"/>
    </w:rPr>
  </w:style>
  <w:style w:type="paragraph" w:styleId="ad">
    <w:name w:val="Revision"/>
    <w:hidden/>
    <w:uiPriority w:val="99"/>
    <w:semiHidden/>
    <w:rsid w:val="002E028C"/>
    <w:pPr>
      <w:widowControl/>
      <w:spacing w:line="240" w:lineRule="auto"/>
    </w:pPr>
  </w:style>
  <w:style w:type="paragraph" w:styleId="HTML">
    <w:name w:val="HTML Preformatted"/>
    <w:basedOn w:val="a"/>
    <w:link w:val="HTML0"/>
    <w:uiPriority w:val="99"/>
    <w:semiHidden/>
    <w:unhideWhenUsed/>
    <w:rsid w:val="00844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844885"/>
    <w:rPr>
      <w:rFonts w:ascii="Courier New" w:eastAsia="Times New Roman" w:hAnsi="Courier New" w:cs="Courier New"/>
      <w:color w:val="auto"/>
      <w:sz w:val="20"/>
      <w:szCs w:val="20"/>
    </w:rPr>
  </w:style>
  <w:style w:type="character" w:styleId="ae">
    <w:name w:val="Hyperlink"/>
    <w:basedOn w:val="a0"/>
    <w:uiPriority w:val="99"/>
    <w:semiHidden/>
    <w:unhideWhenUsed/>
    <w:rsid w:val="00844885"/>
    <w:rPr>
      <w:color w:val="0000FF"/>
      <w:u w:val="single"/>
    </w:rPr>
  </w:style>
  <w:style w:type="character" w:styleId="af">
    <w:name w:val="Strong"/>
    <w:basedOn w:val="a0"/>
    <w:uiPriority w:val="22"/>
    <w:qFormat/>
    <w:rsid w:val="000E2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2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6002</Words>
  <Characters>34215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Airapetov</dc:creator>
  <cp:keywords/>
  <dc:description/>
  <cp:lastModifiedBy>Manuel Airapetov</cp:lastModifiedBy>
  <cp:revision>3</cp:revision>
  <cp:lastPrinted>2017-02-24T08:57:00Z</cp:lastPrinted>
  <dcterms:created xsi:type="dcterms:W3CDTF">2017-05-19T12:55:00Z</dcterms:created>
  <dcterms:modified xsi:type="dcterms:W3CDTF">2017-05-22T10:45:00Z</dcterms:modified>
</cp:coreProperties>
</file>