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3A00" w14:textId="5BCE7E7A" w:rsidR="009A0BE2" w:rsidRPr="00F44F66" w:rsidRDefault="0020214A" w:rsidP="00F44F66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>ПОЯСНЮВАЛЬНА ЗАПИСКА</w:t>
      </w:r>
      <w:r w:rsidR="002373A1"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проекту </w:t>
      </w:r>
      <w:r w:rsidR="00636A26"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</w:t>
      </w:r>
      <w:r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Кабінету Міністрів України</w:t>
      </w:r>
      <w:r w:rsidR="002373A1"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F7640"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визнання такими, що втратили чинність, </w:t>
      </w:r>
      <w:r w:rsidR="008F7640"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деяких </w:t>
      </w:r>
      <w:r w:rsidR="008C0D2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</w:t>
      </w:r>
      <w:r w:rsidR="008F7640"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Кабінету Міністрів України</w:t>
      </w:r>
      <w:r w:rsidR="009A0BE2" w:rsidRPr="00F44F6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CE2974E" w14:textId="77777777" w:rsidR="009A0BE2" w:rsidRPr="003575AA" w:rsidRDefault="009A0BE2" w:rsidP="00C1049A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AF111" w14:textId="736E768B" w:rsidR="0020214A" w:rsidRPr="003575AA" w:rsidRDefault="0020214A" w:rsidP="00C1049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2373A1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14:paraId="4D3DFC9E" w14:textId="12D577F6" w:rsidR="008B3D6A" w:rsidRDefault="00A76B34" w:rsidP="00ED0EC9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214A" w:rsidRPr="00ED0EC9">
        <w:rPr>
          <w:rFonts w:ascii="Times New Roman" w:hAnsi="Times New Roman"/>
          <w:sz w:val="28"/>
          <w:szCs w:val="28"/>
        </w:rPr>
        <w:t>роект</w:t>
      </w:r>
      <w:r w:rsidR="00ED0EC9" w:rsidRPr="00ED0EC9">
        <w:rPr>
          <w:rFonts w:ascii="Times New Roman" w:hAnsi="Times New Roman"/>
          <w:sz w:val="28"/>
          <w:szCs w:val="28"/>
        </w:rPr>
        <w:t>ом</w:t>
      </w:r>
      <w:r w:rsidR="0020214A" w:rsidRPr="00ED0EC9">
        <w:rPr>
          <w:rFonts w:ascii="Times New Roman" w:hAnsi="Times New Roman"/>
          <w:sz w:val="28"/>
          <w:szCs w:val="28"/>
        </w:rPr>
        <w:t xml:space="preserve"> </w:t>
      </w:r>
      <w:r w:rsidR="0051357B" w:rsidRPr="00ED0EC9">
        <w:rPr>
          <w:rFonts w:ascii="Times New Roman" w:hAnsi="Times New Roman"/>
          <w:sz w:val="28"/>
          <w:szCs w:val="28"/>
        </w:rPr>
        <w:t>постанови</w:t>
      </w:r>
      <w:r w:rsidR="0020214A" w:rsidRPr="00ED0EC9"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 w:rsidR="008F7640" w:rsidRPr="00ED0EC9">
        <w:rPr>
          <w:rFonts w:ascii="Times New Roman" w:hAnsi="Times New Roman"/>
          <w:sz w:val="28"/>
          <w:szCs w:val="28"/>
        </w:rPr>
        <w:t xml:space="preserve">«Про визнання такими, що втратили чинність, деяких </w:t>
      </w:r>
      <w:r w:rsidR="008C0D25">
        <w:rPr>
          <w:rFonts w:ascii="Times New Roman" w:hAnsi="Times New Roman"/>
          <w:sz w:val="28"/>
          <w:szCs w:val="28"/>
        </w:rPr>
        <w:t>постанов</w:t>
      </w:r>
      <w:r w:rsidR="008F7640" w:rsidRPr="00ED0EC9">
        <w:rPr>
          <w:rFonts w:ascii="Times New Roman" w:hAnsi="Times New Roman"/>
          <w:sz w:val="28"/>
          <w:szCs w:val="28"/>
        </w:rPr>
        <w:t xml:space="preserve"> Кабінету Міністрів України»</w:t>
      </w:r>
      <w:r w:rsidR="009A0BE2" w:rsidRPr="00ED0EC9">
        <w:rPr>
          <w:rFonts w:ascii="Times New Roman" w:hAnsi="Times New Roman"/>
          <w:sz w:val="28"/>
          <w:szCs w:val="28"/>
        </w:rPr>
        <w:t xml:space="preserve"> </w:t>
      </w:r>
      <w:r w:rsidR="0050008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B6AFF" w:rsidRPr="00ED0EC9">
        <w:rPr>
          <w:rFonts w:ascii="Times New Roman" w:hAnsi="Times New Roman"/>
          <w:sz w:val="28"/>
          <w:szCs w:val="28"/>
        </w:rPr>
        <w:t>(</w:t>
      </w:r>
      <w:r w:rsidR="0020214A" w:rsidRPr="00ED0EC9">
        <w:rPr>
          <w:rFonts w:ascii="Times New Roman" w:hAnsi="Times New Roman"/>
          <w:sz w:val="28"/>
          <w:szCs w:val="28"/>
        </w:rPr>
        <w:t xml:space="preserve">далі – </w:t>
      </w:r>
      <w:r w:rsidR="00ED0EC9" w:rsidRPr="00ED0EC9">
        <w:rPr>
          <w:rFonts w:ascii="Times New Roman" w:hAnsi="Times New Roman"/>
          <w:sz w:val="28"/>
          <w:szCs w:val="28"/>
        </w:rPr>
        <w:t>П</w:t>
      </w:r>
      <w:r w:rsidR="0020214A" w:rsidRPr="00ED0EC9">
        <w:rPr>
          <w:rFonts w:ascii="Times New Roman" w:hAnsi="Times New Roman"/>
          <w:sz w:val="28"/>
          <w:szCs w:val="28"/>
        </w:rPr>
        <w:t xml:space="preserve">роект </w:t>
      </w:r>
      <w:r w:rsidR="0051357B" w:rsidRPr="00ED0EC9">
        <w:rPr>
          <w:rFonts w:ascii="Times New Roman" w:hAnsi="Times New Roman"/>
          <w:sz w:val="28"/>
          <w:szCs w:val="28"/>
        </w:rPr>
        <w:t>постанови</w:t>
      </w:r>
      <w:r w:rsidR="0020214A" w:rsidRPr="00ED0EC9">
        <w:rPr>
          <w:rFonts w:ascii="Times New Roman" w:hAnsi="Times New Roman"/>
          <w:sz w:val="28"/>
          <w:szCs w:val="28"/>
        </w:rPr>
        <w:t xml:space="preserve">) </w:t>
      </w:r>
      <w:r w:rsidR="00ED0EC9" w:rsidRPr="00ED0EC9">
        <w:rPr>
          <w:rFonts w:ascii="Times New Roman" w:hAnsi="Times New Roman"/>
          <w:sz w:val="28"/>
          <w:szCs w:val="28"/>
        </w:rPr>
        <w:t xml:space="preserve">передбачається визнати постанову Кабінету Міністрів України від 12.10.1992 року № 576 </w:t>
      </w:r>
      <w:r>
        <w:rPr>
          <w:rFonts w:ascii="Times New Roman" w:hAnsi="Times New Roman"/>
          <w:sz w:val="28"/>
          <w:szCs w:val="28"/>
        </w:rPr>
        <w:t xml:space="preserve">«Про затвердження Положення про дозвільну систему» (далі </w:t>
      </w:r>
      <w:r w:rsidR="001A2A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Постанова</w:t>
      </w:r>
      <w:r w:rsidR="001A2A4A">
        <w:rPr>
          <w:rFonts w:ascii="Times New Roman" w:hAnsi="Times New Roman"/>
          <w:sz w:val="28"/>
          <w:szCs w:val="28"/>
        </w:rPr>
        <w:t xml:space="preserve"> № 576</w:t>
      </w:r>
      <w:r>
        <w:rPr>
          <w:rFonts w:ascii="Times New Roman" w:hAnsi="Times New Roman"/>
          <w:sz w:val="28"/>
          <w:szCs w:val="28"/>
        </w:rPr>
        <w:t xml:space="preserve">) </w:t>
      </w:r>
      <w:r w:rsidR="00ED0EC9" w:rsidRPr="00ED0EC9">
        <w:rPr>
          <w:rFonts w:ascii="Times New Roman" w:hAnsi="Times New Roman"/>
          <w:sz w:val="28"/>
          <w:szCs w:val="28"/>
        </w:rPr>
        <w:t xml:space="preserve">такою, що втратила чинність. </w:t>
      </w:r>
    </w:p>
    <w:p w14:paraId="72847E1D" w14:textId="143F0174" w:rsidR="00E27F9C" w:rsidRDefault="00A76B34" w:rsidP="00ED0EC9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Підставою для визнання Постанови </w:t>
      </w:r>
      <w:r w:rsidR="00FF47E5">
        <w:rPr>
          <w:rFonts w:ascii="Times New Roman" w:hAnsi="Times New Roman"/>
          <w:sz w:val="28"/>
          <w:szCs w:val="28"/>
        </w:rPr>
        <w:t xml:space="preserve">№ 576 </w:t>
      </w:r>
      <w:r w:rsidRPr="00ED0EC9">
        <w:rPr>
          <w:rFonts w:ascii="Times New Roman" w:hAnsi="Times New Roman"/>
          <w:sz w:val="28"/>
          <w:szCs w:val="28"/>
        </w:rPr>
        <w:t>такою, що втратила чинність</w:t>
      </w:r>
      <w:r>
        <w:rPr>
          <w:rFonts w:ascii="Times New Roman" w:hAnsi="Times New Roman"/>
          <w:sz w:val="28"/>
          <w:szCs w:val="28"/>
        </w:rPr>
        <w:t xml:space="preserve">, є її невідповідність вимогам </w:t>
      </w:r>
      <w:r w:rsidR="00E77E9E">
        <w:rPr>
          <w:rFonts w:ascii="Times New Roman" w:hAnsi="Times New Roman"/>
          <w:sz w:val="28"/>
          <w:szCs w:val="28"/>
        </w:rPr>
        <w:t xml:space="preserve">Господарського кодексу України, </w:t>
      </w:r>
      <w:r>
        <w:rPr>
          <w:rFonts w:ascii="Times New Roman" w:hAnsi="Times New Roman"/>
          <w:sz w:val="28"/>
          <w:szCs w:val="28"/>
        </w:rPr>
        <w:t>Законів України «Про основні засади державного нагляду (контролю) у сфері господарської діяльності», «Про ліцензування видів господарської діяльності», «</w:t>
      </w:r>
      <w:r w:rsidR="00FD23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 дозвільну систему у сфері господарської діяльності» та «Про перелік документів дозвільного характеру»</w:t>
      </w:r>
      <w:r w:rsidR="00FD2365">
        <w:rPr>
          <w:rFonts w:ascii="Times New Roman" w:hAnsi="Times New Roman"/>
          <w:sz w:val="28"/>
          <w:szCs w:val="28"/>
        </w:rPr>
        <w:t>,</w:t>
      </w:r>
      <w:r w:rsidR="00E27F9C">
        <w:rPr>
          <w:rFonts w:ascii="Times New Roman" w:hAnsi="Times New Roman"/>
          <w:sz w:val="28"/>
          <w:szCs w:val="28"/>
        </w:rPr>
        <w:t xml:space="preserve"> з огляду на нижчезазначене</w:t>
      </w:r>
      <w:r>
        <w:rPr>
          <w:rFonts w:ascii="Times New Roman" w:hAnsi="Times New Roman"/>
          <w:sz w:val="28"/>
          <w:szCs w:val="28"/>
        </w:rPr>
        <w:t>.</w:t>
      </w:r>
    </w:p>
    <w:p w14:paraId="012F25CF" w14:textId="53CC6E2B" w:rsidR="005F2044" w:rsidRDefault="00DE3566" w:rsidP="005F2044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9 з</w:t>
      </w:r>
      <w:r w:rsidR="00E27F9C">
        <w:rPr>
          <w:rFonts w:ascii="Times New Roman" w:hAnsi="Times New Roman"/>
          <w:sz w:val="28"/>
          <w:szCs w:val="28"/>
        </w:rPr>
        <w:t>азначено</w:t>
      </w:r>
      <w:r>
        <w:rPr>
          <w:rFonts w:ascii="Times New Roman" w:hAnsi="Times New Roman"/>
          <w:sz w:val="28"/>
          <w:szCs w:val="28"/>
        </w:rPr>
        <w:t>ї</w:t>
      </w:r>
      <w:r w:rsidR="00E27F9C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и</w:t>
      </w:r>
      <w:r w:rsidR="00E27F9C">
        <w:rPr>
          <w:rFonts w:ascii="Times New Roman" w:hAnsi="Times New Roman"/>
          <w:sz w:val="28"/>
          <w:szCs w:val="28"/>
        </w:rPr>
        <w:t xml:space="preserve"> </w:t>
      </w:r>
      <w:r w:rsidR="00806EF7">
        <w:rPr>
          <w:rFonts w:ascii="Times New Roman" w:hAnsi="Times New Roman"/>
          <w:sz w:val="28"/>
          <w:szCs w:val="28"/>
        </w:rPr>
        <w:t xml:space="preserve">№ 576 </w:t>
      </w:r>
      <w:r w:rsidR="00E27F9C">
        <w:rPr>
          <w:rFonts w:ascii="Times New Roman" w:hAnsi="Times New Roman"/>
          <w:sz w:val="28"/>
          <w:szCs w:val="28"/>
        </w:rPr>
        <w:t>пере</w:t>
      </w:r>
      <w:r w:rsidR="005F2044">
        <w:rPr>
          <w:rFonts w:ascii="Times New Roman" w:hAnsi="Times New Roman"/>
          <w:sz w:val="28"/>
          <w:szCs w:val="28"/>
        </w:rPr>
        <w:t>дбачено, що</w:t>
      </w:r>
      <w:r w:rsidR="00E27F9C">
        <w:rPr>
          <w:rFonts w:ascii="Times New Roman" w:hAnsi="Times New Roman"/>
          <w:sz w:val="28"/>
          <w:szCs w:val="28"/>
        </w:rPr>
        <w:t xml:space="preserve"> видача дозволу на виготовлення, придбання, зберігання, облік, охорону, перевезення </w:t>
      </w:r>
      <w:r w:rsidR="005F2044">
        <w:rPr>
          <w:rFonts w:ascii="Times New Roman" w:hAnsi="Times New Roman"/>
          <w:sz w:val="28"/>
          <w:szCs w:val="28"/>
        </w:rPr>
        <w:t xml:space="preserve">і використання </w:t>
      </w:r>
      <w:r w:rsidR="005F2044" w:rsidRPr="005F2044">
        <w:rPr>
          <w:rFonts w:ascii="Times New Roman" w:hAnsi="Times New Roman"/>
          <w:sz w:val="28"/>
          <w:szCs w:val="28"/>
        </w:rPr>
        <w:t xml:space="preserve">предметів, матеріалів </w:t>
      </w:r>
      <w:r w:rsidR="005F2044">
        <w:rPr>
          <w:rFonts w:ascii="Times New Roman" w:hAnsi="Times New Roman"/>
          <w:sz w:val="28"/>
          <w:szCs w:val="28"/>
        </w:rPr>
        <w:t>і</w:t>
      </w:r>
      <w:r w:rsidR="005F2044" w:rsidRPr="005F2044">
        <w:rPr>
          <w:rFonts w:ascii="Times New Roman" w:hAnsi="Times New Roman"/>
          <w:sz w:val="28"/>
          <w:szCs w:val="28"/>
        </w:rPr>
        <w:t xml:space="preserve"> речовин, відкриття підприємств, майстерень і лабораторій здійснюється</w:t>
      </w:r>
      <w:r w:rsidR="00FD2365">
        <w:rPr>
          <w:rFonts w:ascii="Times New Roman" w:hAnsi="Times New Roman"/>
          <w:sz w:val="28"/>
          <w:szCs w:val="28"/>
        </w:rPr>
        <w:t>, зокрема</w:t>
      </w:r>
      <w:r w:rsidR="005F2044" w:rsidRPr="005F2044">
        <w:rPr>
          <w:rFonts w:ascii="Times New Roman" w:hAnsi="Times New Roman"/>
          <w:sz w:val="28"/>
          <w:szCs w:val="28"/>
        </w:rPr>
        <w:t xml:space="preserve">: </w:t>
      </w:r>
      <w:bookmarkStart w:id="0" w:name="o29"/>
      <w:bookmarkEnd w:id="0"/>
    </w:p>
    <w:p w14:paraId="0BC0F4E8" w14:textId="1B770FAD" w:rsidR="005F2044" w:rsidRPr="005F2044" w:rsidRDefault="005F2044" w:rsidP="005F2044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</w:t>
      </w:r>
      <w:r w:rsidRPr="005F2044">
        <w:rPr>
          <w:rFonts w:ascii="Times New Roman" w:hAnsi="Times New Roman"/>
          <w:sz w:val="28"/>
          <w:szCs w:val="28"/>
        </w:rPr>
        <w:t xml:space="preserve"> вогнепальну зброю (нарізну воєнних зразків, несучасну стрілецьку, спортивну, навчальну, </w:t>
      </w:r>
      <w:proofErr w:type="spellStart"/>
      <w:r w:rsidRPr="005F2044">
        <w:rPr>
          <w:rFonts w:ascii="Times New Roman" w:hAnsi="Times New Roman"/>
          <w:sz w:val="28"/>
          <w:szCs w:val="28"/>
        </w:rPr>
        <w:t>охолощену</w:t>
      </w:r>
      <w:proofErr w:type="spellEnd"/>
      <w:r w:rsidRPr="005F2044">
        <w:rPr>
          <w:rFonts w:ascii="Times New Roman" w:hAnsi="Times New Roman"/>
          <w:sz w:val="28"/>
          <w:szCs w:val="28"/>
        </w:rPr>
        <w:t xml:space="preserve">, мисливську нарізну і гладкоствольну), бойові припаси до неї, холодну зброю, пристрої вітчизняного </w:t>
      </w:r>
      <w:r>
        <w:rPr>
          <w:rFonts w:ascii="Times New Roman" w:hAnsi="Times New Roman"/>
          <w:sz w:val="28"/>
          <w:szCs w:val="28"/>
        </w:rPr>
        <w:t xml:space="preserve">виробництва </w:t>
      </w:r>
      <w:r w:rsidRPr="005F2044">
        <w:rPr>
          <w:rFonts w:ascii="Times New Roman" w:hAnsi="Times New Roman"/>
          <w:sz w:val="28"/>
          <w:szCs w:val="28"/>
        </w:rPr>
        <w:t xml:space="preserve">для відстрілу патронів, споряджених гумовими чи аналогічними за своїми властивостями метальними снарядами несмертельної дії, та зазначені патрони, сховища, склади і бази, де вони зберігаються, стрілецькі тири і стрільбища, мисливсько-спортивні стенди, а також підприємства і майстерні по виготовленню і ремонту вогнепальної та холодної зброї, піротехнічні майстерні, пункти вивчення матеріальної частини зброї, спеціальних засобів, правил поводження з ними та їх застосування, магазини, в яких здійснюється продаж зброї та бойових </w:t>
      </w:r>
      <w:r w:rsidR="001414AB">
        <w:rPr>
          <w:rFonts w:ascii="Times New Roman" w:hAnsi="Times New Roman"/>
          <w:sz w:val="28"/>
          <w:szCs w:val="28"/>
        </w:rPr>
        <w:t xml:space="preserve">припасів </w:t>
      </w:r>
      <w:r w:rsidRPr="005F2044">
        <w:rPr>
          <w:rFonts w:ascii="Times New Roman" w:hAnsi="Times New Roman"/>
          <w:sz w:val="28"/>
          <w:szCs w:val="28"/>
        </w:rPr>
        <w:t xml:space="preserve">до неї </w:t>
      </w:r>
      <w:r w:rsidR="00FD2365">
        <w:rPr>
          <w:rFonts w:ascii="Times New Roman" w:hAnsi="Times New Roman"/>
          <w:sz w:val="28"/>
          <w:szCs w:val="28"/>
        </w:rPr>
        <w:t>– у порядку, визначеному МВС;</w:t>
      </w:r>
      <w:r w:rsidRPr="005F2044">
        <w:rPr>
          <w:rFonts w:ascii="Times New Roman" w:hAnsi="Times New Roman"/>
          <w:sz w:val="28"/>
          <w:szCs w:val="28"/>
        </w:rPr>
        <w:t xml:space="preserve"> </w:t>
      </w:r>
    </w:p>
    <w:p w14:paraId="4D7098FE" w14:textId="59836AA4" w:rsidR="00FD2365" w:rsidRDefault="00FD2365" w:rsidP="008C47FA">
      <w:pPr>
        <w:pStyle w:val="HTML"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1" w:name="o30"/>
      <w:bookmarkEnd w:id="1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- </w:t>
      </w:r>
      <w:r w:rsidR="005F2044" w:rsidRPr="005F20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вибухові матеріали і речовини, їх перевезення, а також сховища та склади, де вони зберігаються, у порядку, визначеному Держнаглядохоронпраці разом 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МВС.</w:t>
      </w:r>
      <w:r w:rsidR="005F2044" w:rsidRPr="005F20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bookmarkStart w:id="2" w:name="o31"/>
      <w:bookmarkEnd w:id="2"/>
    </w:p>
    <w:p w14:paraId="0A3F9813" w14:textId="789E9B8F" w:rsidR="00364A77" w:rsidRDefault="00364A77" w:rsidP="008C47FA">
      <w:pPr>
        <w:pStyle w:val="HTML"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Постанова № 576 називає всі вище перелічені об’єкти – об’єктами дозвільної системи.</w:t>
      </w:r>
    </w:p>
    <w:p w14:paraId="4E022910" w14:textId="77777777" w:rsidR="0097324F" w:rsidRDefault="0097324F" w:rsidP="0097324F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Крім того, пунктом 10 Постанови № 576 передбачено, що д</w:t>
      </w:r>
      <w:r w:rsidRPr="008C47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озволи на виготовлення, зберігання та використання предметів, матеріалів і речовин, відкриття та функціонування підприємств, майстерень і лабораторій, на які поширюється дозвільна система, видаються на ім'я керівників підприємств, установ і організацій, а також громадянам строком на 3 роки. </w:t>
      </w:r>
    </w:p>
    <w:p w14:paraId="43EE252D" w14:textId="77777777" w:rsidR="0097324F" w:rsidRDefault="0097324F" w:rsidP="0097324F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8C47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Дозволи на придбання та перевезення цих предметів, матеріалів 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речовин </w:t>
      </w:r>
      <w:r w:rsidRPr="008C47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видаються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</w:t>
      </w:r>
      <w:r w:rsidRPr="008C47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строк до 3 місяців.</w:t>
      </w:r>
    </w:p>
    <w:p w14:paraId="6BD177BF" w14:textId="2C83859F" w:rsidR="00733DD1" w:rsidRDefault="001A2A4A" w:rsidP="008C47FA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733DD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Проте, відповідно до Закону </w:t>
      </w:r>
      <w:r w:rsidR="00733DD1" w:rsidRPr="00733DD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«Про перелік документів дозвільного характеру» (далі – Закон про перелік</w:t>
      </w:r>
      <w:r w:rsidR="00733DD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ДДХ</w:t>
      </w:r>
      <w:r w:rsidR="00733DD1" w:rsidRPr="00733DD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), забороняється вимагати від </w:t>
      </w:r>
      <w:r w:rsidR="00733DD1" w:rsidRPr="00733DD1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суб'єктів господарювання отримання документів дозвільного характеру, які не внесені до Переліку, затвердженого цим Законом.</w:t>
      </w:r>
    </w:p>
    <w:p w14:paraId="5DEBC6E2" w14:textId="561C02D3" w:rsidR="00733DD1" w:rsidRPr="00500085" w:rsidRDefault="00733DD1" w:rsidP="008C47FA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DE35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Закон про перелік ДДХ не містить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еред документів дозвільного характеру </w:t>
      </w:r>
      <w:r w:rsidR="00DE3566" w:rsidRPr="00DE3566">
        <w:rPr>
          <w:rFonts w:ascii="Times New Roman" w:hAnsi="Times New Roman"/>
          <w:sz w:val="28"/>
          <w:szCs w:val="28"/>
          <w:lang w:val="uk-UA"/>
        </w:rPr>
        <w:t>дозв</w:t>
      </w:r>
      <w:r w:rsidR="00DE3566">
        <w:rPr>
          <w:rFonts w:ascii="Times New Roman" w:hAnsi="Times New Roman"/>
          <w:sz w:val="28"/>
          <w:szCs w:val="28"/>
          <w:lang w:val="uk-UA"/>
        </w:rPr>
        <w:t>іл</w:t>
      </w:r>
      <w:r w:rsidR="00DE3566" w:rsidRPr="00DE3566">
        <w:rPr>
          <w:rFonts w:ascii="Times New Roman" w:hAnsi="Times New Roman"/>
          <w:sz w:val="28"/>
          <w:szCs w:val="28"/>
          <w:lang w:val="uk-UA"/>
        </w:rPr>
        <w:t xml:space="preserve"> на виготовлення, придбання, зберігання, облік, охорону, перевезення і використання предметів, матеріалів і речовин, відкриття підприємств, майстерень і лабораторій</w:t>
      </w:r>
      <w:r w:rsidR="00500085">
        <w:rPr>
          <w:rFonts w:ascii="Times New Roman" w:hAnsi="Times New Roman"/>
          <w:sz w:val="28"/>
          <w:szCs w:val="28"/>
          <w:lang w:val="uk-UA"/>
        </w:rPr>
        <w:t xml:space="preserve">, перелічених в пункті 9 Постанови               </w:t>
      </w:r>
      <w:r w:rsidR="00500085" w:rsidRPr="00500085">
        <w:rPr>
          <w:rFonts w:ascii="Times New Roman" w:hAnsi="Times New Roman"/>
          <w:sz w:val="28"/>
          <w:szCs w:val="28"/>
          <w:lang w:val="uk-UA"/>
        </w:rPr>
        <w:t>№ 576</w:t>
      </w:r>
      <w:r w:rsidR="00500085">
        <w:rPr>
          <w:rFonts w:ascii="Times New Roman" w:hAnsi="Times New Roman"/>
          <w:sz w:val="28"/>
          <w:szCs w:val="28"/>
          <w:lang w:val="uk-UA"/>
        </w:rPr>
        <w:t>.</w:t>
      </w:r>
    </w:p>
    <w:p w14:paraId="63DAB8F2" w14:textId="10A9EBF1" w:rsidR="0097324F" w:rsidRDefault="00AD5EBD" w:rsidP="0097324F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0B29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Разом з тим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674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статтею </w:t>
      </w:r>
      <w:r w:rsidR="009732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 Закону України </w:t>
      </w:r>
      <w:r w:rsidR="00674E60" w:rsidRPr="00674E60">
        <w:rPr>
          <w:rFonts w:ascii="Times New Roman" w:hAnsi="Times New Roman"/>
          <w:sz w:val="28"/>
          <w:szCs w:val="28"/>
          <w:lang w:val="uk-UA"/>
        </w:rPr>
        <w:t>«Про дозвільну систему у сфері господарської діяльності»</w:t>
      </w:r>
      <w:r w:rsidR="00AD1EB5">
        <w:rPr>
          <w:rFonts w:ascii="Times New Roman" w:hAnsi="Times New Roman"/>
          <w:sz w:val="28"/>
          <w:szCs w:val="28"/>
          <w:lang w:val="uk-UA"/>
        </w:rPr>
        <w:t xml:space="preserve"> (далі – Закон про дозвільну систему) передбачено, що в</w:t>
      </w:r>
      <w:r w:rsidR="0097324F" w:rsidRPr="009732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иключно законами, які регулюють відносини, пов'язані з одержанням документів дозвільного характеру, встановлюються: </w:t>
      </w:r>
      <w:bookmarkStart w:id="3" w:name="o53"/>
      <w:bookmarkEnd w:id="3"/>
    </w:p>
    <w:p w14:paraId="2C9D69E1" w14:textId="711AE52D" w:rsidR="0097324F" w:rsidRDefault="0097324F" w:rsidP="0097324F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732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необхідність одержання документів дозвільного характеру та їх види;</w:t>
      </w:r>
    </w:p>
    <w:p w14:paraId="3841D25A" w14:textId="5F844D31" w:rsidR="0097324F" w:rsidRDefault="0097324F" w:rsidP="0097324F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4" w:name="o54"/>
      <w:bookmarkEnd w:id="4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д</w:t>
      </w:r>
      <w:r w:rsidRPr="009732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озвільний орган, уповноважений видавати документ дозвільного характеру; </w:t>
      </w:r>
      <w:bookmarkStart w:id="5" w:name="o55"/>
      <w:bookmarkEnd w:id="5"/>
    </w:p>
    <w:p w14:paraId="535D8F2A" w14:textId="4F648D0F" w:rsidR="0097324F" w:rsidRDefault="0097324F" w:rsidP="00AD1EB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bookmarkStart w:id="6" w:name="o58"/>
      <w:bookmarkEnd w:id="6"/>
      <w:r w:rsidRPr="009732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строк дії документа дозвільного характеру або необмеженість строку дії такого документа; </w:t>
      </w:r>
    </w:p>
    <w:p w14:paraId="57B2E571" w14:textId="77777777" w:rsidR="00AD1EB5" w:rsidRDefault="00AD1EB5" w:rsidP="00AD1EB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D1EB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перелік документів дозвільного характеру у сфері господарської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діяльності.</w:t>
      </w:r>
    </w:p>
    <w:p w14:paraId="03647E79" w14:textId="2C805D7A" w:rsidR="00694388" w:rsidRDefault="00694388" w:rsidP="00AD1EB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F52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Спеціальним законодавчим актом, що міг би регулювати видачу зазначеного дозволу</w:t>
      </w:r>
      <w:r w:rsidR="009105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9F52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є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Закон «Про Національну поліцію»</w:t>
      </w:r>
      <w:r w:rsidR="009F52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однак, </w:t>
      </w:r>
      <w:r w:rsidR="009105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цим законом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52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передбачено видачу</w:t>
      </w:r>
      <w:r w:rsidR="009105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ні Міністерством внутрішніх справ України, ні Національною поліцією </w:t>
      </w:r>
      <w:r w:rsidR="009F52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зазначеного дозволу,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встановлений строк, на який </w:t>
      </w:r>
      <w:r w:rsidR="009F52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він може видаватися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не встановлена його безстроковість.</w:t>
      </w:r>
      <w:r w:rsidR="009F52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6E4C278C" w14:textId="46200F5B" w:rsidR="00AD1EB5" w:rsidRDefault="00AD1EB5" w:rsidP="00AD1EB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З огляду на зазначене, передбачений Постановою № 576 дозвіл не відповідає вимогам Закону про </w:t>
      </w:r>
      <w:r>
        <w:rPr>
          <w:rFonts w:ascii="Times New Roman" w:hAnsi="Times New Roman"/>
          <w:sz w:val="28"/>
          <w:szCs w:val="28"/>
          <w:lang w:val="uk-UA"/>
        </w:rPr>
        <w:t>дозвільну систему та Закону про перелік ДДХ.</w:t>
      </w:r>
    </w:p>
    <w:p w14:paraId="2AA46FDA" w14:textId="48738579" w:rsidR="00FA0036" w:rsidRPr="00FA0036" w:rsidRDefault="00AD1EB5" w:rsidP="00FA0036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FA003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 відповідає Постанова № 576 </w:t>
      </w:r>
      <w:r w:rsidR="00993A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 </w:t>
      </w:r>
      <w:r w:rsidR="00FA003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Господарському кодексу України, оскільки пунктом 5 Постанови № 576 передбачено, що у</w:t>
      </w:r>
      <w:r w:rsidR="008C47FA" w:rsidRPr="008C47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кладання трудового договору на виконання робіт, пов'язаних з виготовленням, придбанням, зберіганням, обліком, охороною, перевезенням, використанням предметів, матеріалів і речовин, на які поширюється дозвільна система, провадиться </w:t>
      </w:r>
      <w:r w:rsidR="008C47FA" w:rsidRPr="00FA0036">
        <w:rPr>
          <w:rFonts w:ascii="Times New Roman" w:hAnsi="Times New Roman"/>
          <w:sz w:val="28"/>
          <w:szCs w:val="28"/>
          <w:lang w:val="uk-UA"/>
        </w:rPr>
        <w:t>за погодженням з органами міліції.</w:t>
      </w:r>
      <w:r w:rsidR="00FA0036" w:rsidRPr="00FA0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7F9B9F" w14:textId="3211AA87" w:rsidR="00FA0036" w:rsidRPr="00FA0036" w:rsidRDefault="00FA0036" w:rsidP="00FA0036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FA0036">
        <w:rPr>
          <w:rFonts w:ascii="Times New Roman" w:hAnsi="Times New Roman"/>
          <w:sz w:val="28"/>
          <w:szCs w:val="28"/>
          <w:lang w:val="uk-UA"/>
        </w:rPr>
        <w:tab/>
        <w:t>В той же час, відповідно до статті 44 Господарського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A003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n325"/>
      <w:bookmarkEnd w:id="7"/>
      <w:r w:rsidRPr="00FA0036">
        <w:rPr>
          <w:rFonts w:ascii="Times New Roman" w:hAnsi="Times New Roman"/>
          <w:sz w:val="28"/>
          <w:szCs w:val="28"/>
          <w:lang w:val="uk-UA"/>
        </w:rPr>
        <w:t xml:space="preserve">підприємництво здійснюється на основі </w:t>
      </w:r>
      <w:bookmarkStart w:id="8" w:name="n326"/>
      <w:bookmarkStart w:id="9" w:name="n328"/>
      <w:bookmarkEnd w:id="8"/>
      <w:bookmarkEnd w:id="9"/>
      <w:r w:rsidRPr="00FA0036">
        <w:rPr>
          <w:rFonts w:ascii="Times New Roman" w:hAnsi="Times New Roman"/>
          <w:sz w:val="28"/>
          <w:szCs w:val="28"/>
          <w:lang w:val="uk-UA"/>
        </w:rPr>
        <w:t>вільного найму підприємцем праці</w:t>
      </w:r>
      <w:r>
        <w:rPr>
          <w:rFonts w:ascii="Times New Roman" w:hAnsi="Times New Roman"/>
          <w:sz w:val="28"/>
          <w:szCs w:val="28"/>
          <w:lang w:val="uk-UA"/>
        </w:rPr>
        <w:t>вників.</w:t>
      </w:r>
    </w:p>
    <w:p w14:paraId="0CF8617E" w14:textId="301C4D05" w:rsidR="001A2A4A" w:rsidRDefault="00FA0036" w:rsidP="00B23D75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455A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того ж, в</w:t>
      </w:r>
      <w:r w:rsidR="00BF21E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становлений порядок здійснення державного нагляду (контролю) за суб’єктами господарювання суперечить </w:t>
      </w:r>
      <w:r w:rsidR="00BF21E0" w:rsidRPr="00BF21E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Закону України «Про основні засади державного нагляду (контролю) у сфері господарської діяльності» (далі – Закон про контроль) та Закону України «Про ліцензування видів господарської діяльності» (далі – Закон про ліцензування).</w:t>
      </w:r>
    </w:p>
    <w:p w14:paraId="2108963D" w14:textId="77777777" w:rsidR="00B23D75" w:rsidRDefault="0017260F" w:rsidP="00B23D75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Так, Постанов</w:t>
      </w:r>
      <w:r w:rsidR="00B23D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ою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№ 576 </w:t>
      </w:r>
      <w:r w:rsidR="00B23D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встановлюється порядок здійснення державного нагляду (контролю) за дотриманням суб’єктами господарювання порядку </w:t>
      </w:r>
      <w:r w:rsidR="00B23D75" w:rsidRPr="00DE3566">
        <w:rPr>
          <w:rFonts w:ascii="Times New Roman" w:hAnsi="Times New Roman"/>
          <w:sz w:val="28"/>
          <w:szCs w:val="28"/>
          <w:lang w:val="uk-UA"/>
        </w:rPr>
        <w:t>виготовлення, придбання, зберігання, облік</w:t>
      </w:r>
      <w:r w:rsidR="00B23D75">
        <w:rPr>
          <w:rFonts w:ascii="Times New Roman" w:hAnsi="Times New Roman"/>
          <w:sz w:val="28"/>
          <w:szCs w:val="28"/>
          <w:lang w:val="uk-UA"/>
        </w:rPr>
        <w:t>у</w:t>
      </w:r>
      <w:r w:rsidR="00B23D75" w:rsidRPr="00DE35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3D75">
        <w:rPr>
          <w:rFonts w:ascii="Times New Roman" w:hAnsi="Times New Roman"/>
          <w:sz w:val="28"/>
          <w:szCs w:val="28"/>
          <w:lang w:val="uk-UA"/>
        </w:rPr>
        <w:t>перевезення і</w:t>
      </w:r>
      <w:r w:rsidR="00B23D75" w:rsidRPr="00DE3566">
        <w:rPr>
          <w:rFonts w:ascii="Times New Roman" w:hAnsi="Times New Roman"/>
          <w:sz w:val="28"/>
          <w:szCs w:val="28"/>
          <w:lang w:val="uk-UA"/>
        </w:rPr>
        <w:t xml:space="preserve"> відкриття </w:t>
      </w:r>
      <w:r w:rsidR="00B23D75">
        <w:rPr>
          <w:rFonts w:ascii="Times New Roman" w:hAnsi="Times New Roman"/>
          <w:sz w:val="28"/>
          <w:szCs w:val="28"/>
          <w:lang w:val="uk-UA"/>
        </w:rPr>
        <w:t xml:space="preserve">та функціонування </w:t>
      </w:r>
      <w:r w:rsidR="00B23D75" w:rsidRPr="00DE3566">
        <w:rPr>
          <w:rFonts w:ascii="Times New Roman" w:hAnsi="Times New Roman"/>
          <w:sz w:val="28"/>
          <w:szCs w:val="28"/>
          <w:lang w:val="uk-UA"/>
        </w:rPr>
        <w:t>підприємств, майстерень і лабораторій</w:t>
      </w:r>
      <w:r w:rsidR="00B23D75">
        <w:rPr>
          <w:rFonts w:ascii="Times New Roman" w:hAnsi="Times New Roman"/>
          <w:sz w:val="28"/>
          <w:szCs w:val="28"/>
          <w:lang w:val="uk-UA"/>
        </w:rPr>
        <w:t>, на які поширюється дозвільна система.</w:t>
      </w:r>
    </w:p>
    <w:p w14:paraId="3EC3C9FC" w14:textId="14344560" w:rsidR="00475638" w:rsidRDefault="00475638" w:rsidP="0047563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Згідно з пунктом </w:t>
      </w:r>
      <w:r w:rsidR="00CC2C81">
        <w:rPr>
          <w:rFonts w:ascii="Times New Roman" w:hAnsi="Times New Roman"/>
          <w:sz w:val="28"/>
          <w:szCs w:val="28"/>
          <w:lang w:val="uk-UA"/>
        </w:rPr>
        <w:t xml:space="preserve">13 </w:t>
      </w:r>
      <w:r w:rsidR="00CC2C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Постанови № 576 о</w:t>
      </w:r>
      <w:r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б'єкти, де зберігається 20 чи більше одиниць бойової, спортивної (навчальної) вогнепальної зброї, а також </w:t>
      </w:r>
      <w:r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базові склади вибухових матеріалів обстежуються щомісячно. Інші об'єкти дозвільної системи - щоквартально.</w:t>
      </w:r>
      <w:bookmarkStart w:id="10" w:name="o42"/>
      <w:bookmarkEnd w:id="10"/>
      <w:r w:rsidR="00CC2C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CEAC5BF" w14:textId="77777777" w:rsidR="00475638" w:rsidRDefault="00475638" w:rsidP="0047563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Н</w:t>
      </w:r>
      <w:r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езалежно від строку раніше проведених перевірок об'єкт дозвільної системи у кожному випадку обстежується: </w:t>
      </w:r>
      <w:bookmarkStart w:id="11" w:name="o43"/>
      <w:bookmarkEnd w:id="11"/>
    </w:p>
    <w:p w14:paraId="10B36AE0" w14:textId="77777777" w:rsidR="00475638" w:rsidRDefault="00475638" w:rsidP="0047563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 оформленні на новий строк дозволу на зберігання, використання предметів, матеріалів і речовин, функціонування підприємств, майстерень і лабораторій, на які поширюється дозвільна система; </w:t>
      </w:r>
      <w:bookmarkStart w:id="12" w:name="o44"/>
      <w:bookmarkEnd w:id="12"/>
    </w:p>
    <w:p w14:paraId="296AA99D" w14:textId="3E9711C1" w:rsidR="00475638" w:rsidRPr="00475638" w:rsidRDefault="00475638" w:rsidP="0047563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 переоформленні дозволу у зв'язку із зміною місця зберігання чи використання зазначених предметів, матеріалів і речовин, одиниць зберігання, місткості сховищ, баз, складів тощо, а також керівника, на ім'я якого видано дозвіл.</w:t>
      </w:r>
    </w:p>
    <w:p w14:paraId="71A5CA41" w14:textId="6BB3646C" w:rsidR="00EE25AB" w:rsidRDefault="00854928" w:rsidP="00EE25A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Слід зазначити, що </w:t>
      </w:r>
      <w:r w:rsidR="00E27F9C" w:rsidRPr="00455A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="00764287" w:rsidRPr="00455A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равові та організаційні засади, основні принципи і порядок здійснення державного нагляду (контролю</w:t>
      </w:r>
      <w:r w:rsidR="00764287" w:rsidRPr="00455AF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) у сфері господарської діяльності, повноваження органів державного нагляду (контролю), їх посадових осіб визначається </w:t>
      </w:r>
      <w:r w:rsidR="00455AFD" w:rsidRPr="00455AFD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Законом про контроль.</w:t>
      </w:r>
      <w:r w:rsidR="00EE25A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274778D9" w14:textId="0BF4E2D3" w:rsidR="00C208C4" w:rsidRDefault="00EE25AB" w:rsidP="0034245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764287" w:rsidRPr="00EE25AB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 про контроль визначає перелік відносин, на які його дія не поширюється, встановлює сфери, в яких державний нагляд (контрол</w:t>
      </w:r>
      <w:r w:rsid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>ь) здійснюється з особливостями та</w:t>
      </w:r>
      <w:r w:rsidR="00342451" w:rsidRPr="003424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4245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враховує певні особливості для тих видів господарської діяльності, що підлягають ліцензуванню. </w:t>
      </w:r>
    </w:p>
    <w:p w14:paraId="55A28809" w14:textId="77777777" w:rsidR="00030FC4" w:rsidRDefault="00C208C4" w:rsidP="00030FC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342451"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Так, </w:t>
      </w:r>
      <w:r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відповідно до </w:t>
      </w:r>
      <w:r w:rsidR="00342451"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статт</w:t>
      </w:r>
      <w:r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="00342451"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 Закону про контроль</w:t>
      </w:r>
      <w:r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342451"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особливостей, визначених Законом </w:t>
      </w:r>
      <w:r w:rsidRPr="00C208C4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ліцензування.</w:t>
      </w:r>
      <w:r w:rsidR="00030F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73D4C41F" w14:textId="77777777" w:rsidR="00030FC4" w:rsidRPr="00030FC4" w:rsidRDefault="00030FC4" w:rsidP="00030FC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764287" w:rsidRPr="00030FC4">
        <w:rPr>
          <w:rFonts w:ascii="Times New Roman" w:hAnsi="Times New Roman"/>
          <w:color w:val="000000"/>
          <w:sz w:val="28"/>
          <w:szCs w:val="28"/>
          <w:lang w:val="uk-UA" w:eastAsia="uk-UA"/>
        </w:rPr>
        <w:t>Серед перерахованих в статті 2 Закону про контроль відносин, на які він не поширюється, відсутній контроль за дотриманням порядку виготовлення, придбання, зберігання, обліку, перевезення і відкриття та функціонування підприємств, майстерень і лабораторій, на які поширюється дозвільна система. Не відноситься зазначений вище контроль і до сфер, нагляд (контроль) за якими здійснюється з особливостями, визначеними законами у відповідних сферах та міжнародними договорами.</w:t>
      </w:r>
      <w:r w:rsidRPr="00030F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6CF3849A" w14:textId="0A097F9A" w:rsidR="00A33A3A" w:rsidRDefault="00030FC4" w:rsidP="00030FC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30FC4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E5FF6" w:rsidRPr="00030F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 той же час, </w:t>
      </w:r>
      <w:r w:rsidR="00616868">
        <w:rPr>
          <w:rFonts w:ascii="Times New Roman" w:hAnsi="Times New Roman"/>
          <w:color w:val="000000"/>
          <w:sz w:val="28"/>
          <w:szCs w:val="28"/>
          <w:lang w:val="uk-UA" w:eastAsia="uk-UA"/>
        </w:rPr>
        <w:t>частково</w:t>
      </w:r>
      <w:r w:rsidR="00A33A3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суб’єкт</w:t>
      </w:r>
      <w:r w:rsidR="00616868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="00A33A3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господарювання, що здійснюють </w:t>
      </w:r>
      <w:r w:rsidR="002E5FF6" w:rsidRPr="00030FC4">
        <w:rPr>
          <w:rFonts w:ascii="Times New Roman" w:hAnsi="Times New Roman"/>
          <w:color w:val="000000"/>
          <w:sz w:val="28"/>
          <w:szCs w:val="28"/>
          <w:lang w:val="uk-UA" w:eastAsia="uk-UA"/>
        </w:rPr>
        <w:t>господарськ</w:t>
      </w:r>
      <w:r w:rsidR="00A33A3A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2E5FF6" w:rsidRPr="00030FC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діяльність з виготовлення, придбання, зберігання, обліку, перевезення і відкриття та функціонування підприємств, майстерень і лабораторій, на які поширюється дозвільна система</w:t>
      </w:r>
      <w:r w:rsidR="00A33A3A">
        <w:rPr>
          <w:rFonts w:ascii="Times New Roman" w:hAnsi="Times New Roman"/>
          <w:color w:val="000000"/>
          <w:sz w:val="28"/>
          <w:szCs w:val="28"/>
          <w:lang w:val="uk-UA" w:eastAsia="uk-UA"/>
        </w:rPr>
        <w:t>, здійснюють господарську діяльність, що підлягає ліцензуванню, тобто є ліцензіатами.</w:t>
      </w:r>
    </w:p>
    <w:p w14:paraId="7F9C6EF9" w14:textId="77777777" w:rsidR="005B20A4" w:rsidRDefault="00A33A3A" w:rsidP="00030FC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Це пов’язано з тим, що </w:t>
      </w:r>
      <w:r w:rsidR="002211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згідно зі статтею 7 Закону про ліцензування </w:t>
      </w:r>
      <w:hyperlink r:id="rId8" w:anchor="n8" w:tgtFrame="_blank" w:history="1">
        <w:r w:rsidR="002211F6" w:rsidRPr="002211F6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виробництво та ремонт вогнепальної зброї</w:t>
        </w:r>
      </w:hyperlink>
      <w:r w:rsidR="002211F6" w:rsidRPr="002211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торгівля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виробництво спеціальних засобів, заряджених речовинами сльозоточивої та дратівної дії, індивідуального захисту</w:t>
      </w:r>
      <w:r w:rsidR="002211F6">
        <w:rPr>
          <w:rFonts w:ascii="Times New Roman" w:hAnsi="Times New Roman"/>
          <w:color w:val="000000"/>
          <w:sz w:val="28"/>
          <w:szCs w:val="28"/>
          <w:lang w:val="uk-UA" w:eastAsia="uk-UA"/>
        </w:rPr>
        <w:t>, активної оборони та їх продаж є одним з видів господарської діяльності, що підлягає ліцензуванню.</w:t>
      </w:r>
    </w:p>
    <w:p w14:paraId="29556F41" w14:textId="129CD79C" w:rsidR="002211F6" w:rsidRPr="00CE440F" w:rsidRDefault="005B20A4" w:rsidP="00030FC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Органом ліцензування цього виду господарської діяльності є Міністерство внутрішніх справ, яке, згідно зі статтею 6 Закону про </w:t>
      </w:r>
      <w:r w:rsidRPr="00CE440F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ліцензування, здійснює контроль за додержанням ліцензіатами вимог ліцензійних умов.</w:t>
      </w:r>
    </w:p>
    <w:p w14:paraId="38E52735" w14:textId="2C1A074A" w:rsidR="00030FC4" w:rsidRPr="0024282D" w:rsidRDefault="004F51FA" w:rsidP="00030FC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E440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З огляду на зазначене, </w:t>
      </w:r>
      <w:r w:rsidR="00764287" w:rsidRPr="00CE440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дія Закону про контроль поширюється на заходи державного нагляду (контролю) за дотриманням порядку виготовлення, придбання, зберігання, обліку, перевезення і відкриття та функціонування підприємств, майстерень і лабораторій, на які поширюється дозвільна система, і має </w:t>
      </w:r>
      <w:proofErr w:type="spellStart"/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здійснюватись</w:t>
      </w:r>
      <w:proofErr w:type="spellEnd"/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 порядку, передбаченому зазначеним Законом</w:t>
      </w: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з урахуванням особливостей, встановленими в Законі про ліцензування.</w:t>
      </w:r>
    </w:p>
    <w:p w14:paraId="4CA63139" w14:textId="0E6918A9" w:rsidR="0049756E" w:rsidRPr="0024282D" w:rsidRDefault="00BE402D" w:rsidP="0049756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49756E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В розумінні статті 1 Закону про контроль, заходи державного нагляду (контролю) - планові та позапланові заходи, які здійснюються у формі перевірок, ревізій, оглядів, обстежень та в інших формах, визначених законом.</w:t>
      </w:r>
    </w:p>
    <w:p w14:paraId="275B23E4" w14:textId="36097B72" w:rsidR="00984E2E" w:rsidRDefault="0049756E" w:rsidP="0010179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BE402D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Також і статтею 19 Закону про ліцензування передбачено, що 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</w:t>
      </w:r>
      <w:hyperlink r:id="rId9" w:tgtFrame="_blank" w:history="1">
        <w:r w:rsidR="00764287" w:rsidRPr="0024282D">
          <w:rPr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</w:t>
        </w:r>
      </w:hyperlink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«Про основні засади державного нагляду (контролю) у сфері господарської діяльності» з урахуванням особливостей, визначених цим Законом.</w:t>
      </w:r>
    </w:p>
    <w:p w14:paraId="1176D423" w14:textId="1C2230D9" w:rsidR="00101797" w:rsidRPr="0024282D" w:rsidRDefault="00984E2E" w:rsidP="00101797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Отже, проведення обстежень, як форма державного нагляду (контролю),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може </w:t>
      </w: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ватися тільки </w:t>
      </w: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шляхом проведення планових або позапланових перевірок.</w:t>
      </w:r>
    </w:p>
    <w:p w14:paraId="28EEFDFB" w14:textId="3D75E815" w:rsidR="00570365" w:rsidRDefault="00101797" w:rsidP="0024282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>Таким чином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планові заходи державного нагляду (контролю) </w:t>
      </w:r>
      <w:r w:rsidR="00CA6C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повинні </w:t>
      </w:r>
      <w:proofErr w:type="spellStart"/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</w:t>
      </w:r>
      <w:r w:rsidR="00CA6CBC">
        <w:rPr>
          <w:rFonts w:ascii="Times New Roman" w:hAnsi="Times New Roman"/>
          <w:color w:val="000000"/>
          <w:sz w:val="28"/>
          <w:szCs w:val="28"/>
          <w:lang w:val="uk-UA" w:eastAsia="uk-UA"/>
        </w:rPr>
        <w:t>ватись</w:t>
      </w:r>
      <w:proofErr w:type="spellEnd"/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підставі і з періодичністю, визначеною в статті 5 Закону про контроль, а саме: з високим ступенем ризику - не ча</w:t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>стіше одного разу на два роки; з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середн</w:t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>ім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не </w:t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частіше одного разу на три роки, а </w:t>
      </w:r>
      <w:r w:rsidR="00CA6C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незначн</w:t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>им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ступен</w:t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>ем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ризику - не частіше одного разу на п’ять років.</w:t>
      </w:r>
      <w:r w:rsidR="0024282D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407055FE" w14:textId="4C30B4C3" w:rsidR="0024282D" w:rsidRPr="0024282D" w:rsidRDefault="00570365" w:rsidP="0024282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Позапланові заходи державного нагляду (контролю) здійснюються у відповідності до підстав, визначених статтею 6 Закону про контроль та статтею 19 Закону про ліцензування.</w:t>
      </w:r>
    </w:p>
    <w:p w14:paraId="6029E27C" w14:textId="3161DF01" w:rsidR="0024282D" w:rsidRPr="0024282D" w:rsidRDefault="0024282D" w:rsidP="0024282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щомісячних та щоквартальних обстежень</w:t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обстежень </w:t>
      </w:r>
      <w:r w:rsidR="00570365"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 оформленні на новий строк </w:t>
      </w:r>
      <w:r w:rsidR="005703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зазначеного </w:t>
      </w:r>
      <w:r w:rsidR="00570365"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дозволу</w:t>
      </w:r>
      <w:r w:rsidR="00764287"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7036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</w:t>
      </w:r>
      <w:r w:rsidR="00570365"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 </w:t>
      </w:r>
      <w:r w:rsidR="005703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його </w:t>
      </w:r>
      <w:r w:rsidR="00570365" w:rsidRPr="004756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переоформленні</w:t>
      </w:r>
      <w:r w:rsidR="005703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не передбачено ні Законом про контроль, ні Законом про ліцензування. </w:t>
      </w:r>
    </w:p>
    <w:p w14:paraId="1A4BA06D" w14:textId="56998556" w:rsidR="00764287" w:rsidRDefault="0024282D" w:rsidP="0024282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4282D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FF47E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Враховуючи вищенаведене та те, що </w:t>
      </w:r>
      <w:r w:rsidR="00FF47E5" w:rsidRPr="000A7C5B">
        <w:rPr>
          <w:rFonts w:ascii="Times New Roman" w:hAnsi="Times New Roman"/>
          <w:sz w:val="28"/>
          <w:szCs w:val="28"/>
          <w:lang w:val="uk-UA"/>
        </w:rPr>
        <w:t>постанов</w:t>
      </w:r>
      <w:r w:rsidR="00FF47E5">
        <w:rPr>
          <w:rFonts w:ascii="Times New Roman" w:hAnsi="Times New Roman"/>
          <w:sz w:val="28"/>
          <w:szCs w:val="28"/>
          <w:lang w:val="uk-UA"/>
        </w:rPr>
        <w:t>а</w:t>
      </w:r>
      <w:r w:rsidR="00FF47E5" w:rsidRPr="000A7C5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12.10.1992 року № 576 «Про затвердження Положення про дозвільну систему»</w:t>
      </w:r>
      <w:r w:rsidR="00FF47E5">
        <w:rPr>
          <w:rFonts w:ascii="Times New Roman" w:hAnsi="Times New Roman"/>
          <w:sz w:val="28"/>
          <w:szCs w:val="28"/>
          <w:lang w:val="uk-UA"/>
        </w:rPr>
        <w:t xml:space="preserve"> не відповідає вимогам </w:t>
      </w:r>
      <w:r w:rsidR="00206FAF">
        <w:rPr>
          <w:rFonts w:ascii="Times New Roman" w:hAnsi="Times New Roman"/>
          <w:sz w:val="28"/>
          <w:szCs w:val="28"/>
          <w:lang w:val="uk-UA"/>
        </w:rPr>
        <w:t xml:space="preserve">актів вищої юридичної сили, а саме: вимогам </w:t>
      </w:r>
      <w:r w:rsidR="000A7C5B" w:rsidRPr="000A7C5B">
        <w:rPr>
          <w:rFonts w:ascii="Times New Roman" w:hAnsi="Times New Roman"/>
          <w:sz w:val="28"/>
          <w:szCs w:val="28"/>
          <w:lang w:val="uk-UA"/>
        </w:rPr>
        <w:t>Господарського кодексу України, Законів України «Про основні засади державного нагляду (контролю) у сфері господарської діяльності», «Про ліцензування видів господарської діяльності», «Про дозвільну систему у сфері господарської діяльності» та «Про перелік документів дозвільного характеру»</w:t>
      </w:r>
      <w:r w:rsidR="000A7C5B">
        <w:rPr>
          <w:rFonts w:ascii="Times New Roman" w:hAnsi="Times New Roman"/>
          <w:sz w:val="28"/>
          <w:szCs w:val="28"/>
          <w:lang w:val="uk-UA"/>
        </w:rPr>
        <w:t xml:space="preserve">, вона має бути визнана такою, що втратила чинність. Саме визнання </w:t>
      </w:r>
      <w:r w:rsidR="000A7C5B" w:rsidRPr="000A7C5B">
        <w:rPr>
          <w:rFonts w:ascii="Times New Roman" w:hAnsi="Times New Roman"/>
          <w:sz w:val="28"/>
          <w:szCs w:val="28"/>
          <w:lang w:val="uk-UA"/>
        </w:rPr>
        <w:t>постанов</w:t>
      </w:r>
      <w:r w:rsidR="000A7C5B">
        <w:rPr>
          <w:rFonts w:ascii="Times New Roman" w:hAnsi="Times New Roman"/>
          <w:sz w:val="28"/>
          <w:szCs w:val="28"/>
          <w:lang w:val="uk-UA"/>
        </w:rPr>
        <w:t>и</w:t>
      </w:r>
      <w:r w:rsidR="000A7C5B" w:rsidRPr="000A7C5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12.10.1992 року № 576 «Про затвердження Положення про дозвільну систему»</w:t>
      </w:r>
      <w:r w:rsidR="000A7C5B">
        <w:rPr>
          <w:rFonts w:ascii="Times New Roman" w:hAnsi="Times New Roman"/>
          <w:sz w:val="28"/>
          <w:szCs w:val="28"/>
          <w:lang w:val="uk-UA"/>
        </w:rPr>
        <w:t xml:space="preserve"> такою, що втратила чинність і пропонується розробленим Проектом постанови.</w:t>
      </w:r>
    </w:p>
    <w:p w14:paraId="5A9D1EDD" w14:textId="77777777" w:rsidR="00206FAF" w:rsidRPr="000A7C5B" w:rsidRDefault="00206FAF" w:rsidP="0024282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6141765B" w14:textId="3BCCF6CB" w:rsidR="0020214A" w:rsidRPr="003575AA" w:rsidRDefault="0020214A" w:rsidP="00C1049A">
      <w:pPr>
        <w:widowControl w:val="0"/>
        <w:shd w:val="clear" w:color="auto" w:fill="FFFFFF"/>
        <w:tabs>
          <w:tab w:val="left" w:pos="993"/>
        </w:tabs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3" w:name="n49"/>
      <w:bookmarkEnd w:id="13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Мета і шляхи її досягнення</w:t>
      </w:r>
    </w:p>
    <w:p w14:paraId="1178D130" w14:textId="55621EE7" w:rsidR="0034177A" w:rsidRPr="003575AA" w:rsidRDefault="00D8466F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М</w:t>
      </w:r>
      <w:r w:rsidR="00143D15" w:rsidRPr="003575AA">
        <w:rPr>
          <w:rFonts w:ascii="Times New Roman" w:hAnsi="Times New Roman"/>
          <w:sz w:val="28"/>
          <w:szCs w:val="28"/>
        </w:rPr>
        <w:t xml:space="preserve">етою проекту </w:t>
      </w:r>
      <w:r w:rsidR="000674D7" w:rsidRPr="003575AA">
        <w:rPr>
          <w:rFonts w:ascii="Times New Roman" w:hAnsi="Times New Roman"/>
          <w:sz w:val="28"/>
          <w:szCs w:val="28"/>
        </w:rPr>
        <w:t>постанови</w:t>
      </w:r>
      <w:r w:rsidR="00143D15" w:rsidRPr="003575AA">
        <w:rPr>
          <w:rFonts w:ascii="Times New Roman" w:hAnsi="Times New Roman"/>
          <w:sz w:val="28"/>
          <w:szCs w:val="28"/>
        </w:rPr>
        <w:t xml:space="preserve"> є</w:t>
      </w:r>
      <w:r w:rsidRPr="003575AA">
        <w:rPr>
          <w:rFonts w:ascii="Times New Roman" w:hAnsi="Times New Roman"/>
          <w:sz w:val="28"/>
          <w:szCs w:val="28"/>
        </w:rPr>
        <w:t>:</w:t>
      </w:r>
      <w:r w:rsidR="00206FAF">
        <w:rPr>
          <w:rFonts w:ascii="Times New Roman" w:hAnsi="Times New Roman"/>
          <w:sz w:val="28"/>
          <w:szCs w:val="28"/>
        </w:rPr>
        <w:t xml:space="preserve"> необхідність </w:t>
      </w:r>
      <w:r w:rsidR="0032576C" w:rsidRPr="003575AA">
        <w:rPr>
          <w:rFonts w:ascii="Times New Roman" w:hAnsi="Times New Roman"/>
          <w:sz w:val="28"/>
          <w:szCs w:val="28"/>
        </w:rPr>
        <w:t xml:space="preserve">приведення регуляторного поля у відповідність до вимог </w:t>
      </w:r>
      <w:r w:rsidR="00206FAF" w:rsidRPr="000A7C5B">
        <w:rPr>
          <w:rFonts w:ascii="Times New Roman" w:hAnsi="Times New Roman"/>
          <w:sz w:val="28"/>
          <w:szCs w:val="28"/>
        </w:rPr>
        <w:t xml:space="preserve">Господарського кодексу України, Законів </w:t>
      </w:r>
      <w:r w:rsidR="00206FAF" w:rsidRPr="000A7C5B">
        <w:rPr>
          <w:rFonts w:ascii="Times New Roman" w:hAnsi="Times New Roman"/>
          <w:sz w:val="28"/>
          <w:szCs w:val="28"/>
        </w:rPr>
        <w:lastRenderedPageBreak/>
        <w:t>України «Про основні засади державного нагляду (контролю) у сфері господарської діяльності», «Про ліцензування видів господарської діяльності», «Про дозвільну систему у сфері господарської діяльності» та «Про перелік документів дозвільного характеру»</w:t>
      </w:r>
      <w:r w:rsidR="00206FAF">
        <w:rPr>
          <w:rFonts w:ascii="Times New Roman" w:hAnsi="Times New Roman"/>
          <w:sz w:val="28"/>
          <w:szCs w:val="28"/>
        </w:rPr>
        <w:t xml:space="preserve">, а також необхідність </w:t>
      </w:r>
      <w:r w:rsidR="002F57A5" w:rsidRPr="003575AA">
        <w:rPr>
          <w:rFonts w:ascii="Times New Roman" w:hAnsi="Times New Roman"/>
          <w:sz w:val="28"/>
          <w:szCs w:val="28"/>
        </w:rPr>
        <w:t xml:space="preserve">поліпшення </w:t>
      </w:r>
      <w:r w:rsidR="0034177A" w:rsidRPr="003575AA">
        <w:rPr>
          <w:rFonts w:ascii="Times New Roman" w:hAnsi="Times New Roman"/>
          <w:sz w:val="28"/>
          <w:szCs w:val="28"/>
        </w:rPr>
        <w:t xml:space="preserve">інвестиційного клімату та </w:t>
      </w:r>
      <w:r w:rsidR="002F57A5" w:rsidRPr="003575AA">
        <w:rPr>
          <w:rFonts w:ascii="Times New Roman" w:hAnsi="Times New Roman"/>
          <w:sz w:val="28"/>
          <w:szCs w:val="28"/>
        </w:rPr>
        <w:t xml:space="preserve">покращення </w:t>
      </w:r>
      <w:r w:rsidR="0034177A" w:rsidRPr="003575AA">
        <w:rPr>
          <w:rFonts w:ascii="Times New Roman" w:hAnsi="Times New Roman"/>
          <w:sz w:val="28"/>
          <w:szCs w:val="28"/>
        </w:rPr>
        <w:t>умов ведення бізнесу в Україні;</w:t>
      </w:r>
    </w:p>
    <w:p w14:paraId="2A35FB9A" w14:textId="4C337C45" w:rsidR="00AC2A16" w:rsidRPr="00AC2A16" w:rsidRDefault="00D8466F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C2A16">
        <w:rPr>
          <w:rFonts w:ascii="Times New Roman" w:hAnsi="Times New Roman"/>
          <w:sz w:val="28"/>
          <w:szCs w:val="28"/>
        </w:rPr>
        <w:t xml:space="preserve">Досягти зазначеної мети пропонується шляхом </w:t>
      </w:r>
      <w:r w:rsidR="00AC2A16" w:rsidRPr="00AC2A16">
        <w:rPr>
          <w:rFonts w:ascii="Times New Roman" w:hAnsi="Times New Roman"/>
          <w:sz w:val="28"/>
          <w:szCs w:val="28"/>
        </w:rPr>
        <w:t>визнання такою, що втратила чинність</w:t>
      </w:r>
      <w:r w:rsidR="00206FAF">
        <w:rPr>
          <w:rFonts w:ascii="Times New Roman" w:hAnsi="Times New Roman"/>
          <w:sz w:val="28"/>
          <w:szCs w:val="28"/>
        </w:rPr>
        <w:t>,</w:t>
      </w:r>
      <w:r w:rsidR="00AC2A16" w:rsidRPr="00AC2A16">
        <w:rPr>
          <w:rFonts w:ascii="Times New Roman" w:hAnsi="Times New Roman"/>
          <w:sz w:val="28"/>
          <w:szCs w:val="28"/>
        </w:rPr>
        <w:t xml:space="preserve"> постанов</w:t>
      </w:r>
      <w:r w:rsidR="00206FAF">
        <w:rPr>
          <w:rFonts w:ascii="Times New Roman" w:hAnsi="Times New Roman"/>
          <w:sz w:val="28"/>
          <w:szCs w:val="28"/>
        </w:rPr>
        <w:t>и</w:t>
      </w:r>
      <w:r w:rsidR="00AC2A16" w:rsidRPr="00AC2A16"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 w:rsidR="00206FAF" w:rsidRPr="00ED0EC9">
        <w:rPr>
          <w:rFonts w:ascii="Times New Roman" w:hAnsi="Times New Roman"/>
          <w:sz w:val="28"/>
          <w:szCs w:val="28"/>
        </w:rPr>
        <w:t xml:space="preserve">від 12.10.1992 року № 576 </w:t>
      </w:r>
      <w:r w:rsidR="00206FAF">
        <w:rPr>
          <w:rFonts w:ascii="Times New Roman" w:hAnsi="Times New Roman"/>
          <w:sz w:val="28"/>
          <w:szCs w:val="28"/>
        </w:rPr>
        <w:t>«Про затвердження Положення про дозвільну систему»</w:t>
      </w:r>
      <w:r w:rsidR="00AC2A16" w:rsidRPr="00AC2A16">
        <w:rPr>
          <w:rFonts w:ascii="Times New Roman" w:hAnsi="Times New Roman"/>
          <w:sz w:val="28"/>
          <w:szCs w:val="28"/>
        </w:rPr>
        <w:t>, а також усі</w:t>
      </w:r>
      <w:r w:rsidR="00206FAF">
        <w:rPr>
          <w:rFonts w:ascii="Times New Roman" w:hAnsi="Times New Roman"/>
          <w:sz w:val="28"/>
          <w:szCs w:val="28"/>
        </w:rPr>
        <w:t>х змін</w:t>
      </w:r>
      <w:r w:rsidR="00AC2A16" w:rsidRPr="00AC2A16">
        <w:rPr>
          <w:rFonts w:ascii="Times New Roman" w:hAnsi="Times New Roman"/>
          <w:sz w:val="28"/>
          <w:szCs w:val="28"/>
        </w:rPr>
        <w:t xml:space="preserve">, які вносилися до зазначеного </w:t>
      </w:r>
      <w:proofErr w:type="spellStart"/>
      <w:r w:rsidR="00AC2A16" w:rsidRPr="00AC2A16">
        <w:rPr>
          <w:rFonts w:ascii="Times New Roman" w:hAnsi="Times New Roman"/>
          <w:sz w:val="28"/>
          <w:szCs w:val="28"/>
        </w:rPr>
        <w:t>акта</w:t>
      </w:r>
      <w:proofErr w:type="spellEnd"/>
      <w:r w:rsidR="00AC2A16" w:rsidRPr="00AC2A16">
        <w:rPr>
          <w:rFonts w:ascii="Times New Roman" w:hAnsi="Times New Roman"/>
          <w:sz w:val="28"/>
          <w:szCs w:val="28"/>
        </w:rPr>
        <w:t xml:space="preserve"> Кабінету Міністрів України.</w:t>
      </w:r>
    </w:p>
    <w:p w14:paraId="07E87C2A" w14:textId="77777777" w:rsidR="00AC2A16" w:rsidRDefault="00AC2A16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15EA6" w14:textId="25C33F5E" w:rsidR="0020214A" w:rsidRPr="003575AA" w:rsidRDefault="0020214A" w:rsidP="00C1049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34177A"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Правові аспекти</w:t>
      </w:r>
    </w:p>
    <w:p w14:paraId="6888C132" w14:textId="309D135C" w:rsidR="0020214A" w:rsidRPr="003575AA" w:rsidRDefault="0015721D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>У</w:t>
      </w:r>
      <w:r w:rsidR="0020214A" w:rsidRPr="003575AA">
        <w:rPr>
          <w:rFonts w:ascii="Times New Roman" w:hAnsi="Times New Roman"/>
          <w:sz w:val="28"/>
          <w:szCs w:val="28"/>
        </w:rPr>
        <w:t xml:space="preserve"> даній сфері правового регулювання діють такі нормативно-правові акти:</w:t>
      </w:r>
    </w:p>
    <w:p w14:paraId="40A9AF0F" w14:textId="77777777" w:rsidR="00ED72C0" w:rsidRDefault="0020214A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D72C0">
        <w:rPr>
          <w:rFonts w:ascii="Times New Roman" w:hAnsi="Times New Roman"/>
          <w:sz w:val="28"/>
          <w:szCs w:val="28"/>
        </w:rPr>
        <w:t>Конституція України;</w:t>
      </w:r>
      <w:r w:rsidR="00ED72C0" w:rsidRPr="00ED72C0">
        <w:rPr>
          <w:rFonts w:ascii="Times New Roman" w:hAnsi="Times New Roman"/>
          <w:sz w:val="28"/>
          <w:szCs w:val="28"/>
        </w:rPr>
        <w:t xml:space="preserve"> </w:t>
      </w:r>
    </w:p>
    <w:p w14:paraId="63B392F5" w14:textId="7B19AFF8" w:rsidR="000D7F2F" w:rsidRPr="00ED72C0" w:rsidRDefault="000D7F2F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Господарський кодекс України;</w:t>
      </w:r>
    </w:p>
    <w:p w14:paraId="71C84BD8" w14:textId="77777777" w:rsidR="00ED72C0" w:rsidRPr="00ED72C0" w:rsidRDefault="00ED72C0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D72C0">
        <w:rPr>
          <w:rFonts w:ascii="Times New Roman" w:hAnsi="Times New Roman"/>
          <w:sz w:val="28"/>
          <w:szCs w:val="28"/>
        </w:rPr>
        <w:t>Закон України «Про Національну поліцію»;</w:t>
      </w:r>
    </w:p>
    <w:p w14:paraId="2F675857" w14:textId="2C234382" w:rsidR="00ED72C0" w:rsidRDefault="00F13C3C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="00ED72C0" w:rsidRPr="00ED72C0">
        <w:rPr>
          <w:rFonts w:ascii="Times New Roman" w:hAnsi="Times New Roman"/>
          <w:sz w:val="28"/>
          <w:szCs w:val="28"/>
        </w:rPr>
        <w:t xml:space="preserve"> України «Про основні засади державного нагляду (контролю) у сфері господарської діяльності»;</w:t>
      </w:r>
    </w:p>
    <w:p w14:paraId="5AF000D5" w14:textId="784BFE66" w:rsidR="00F13C3C" w:rsidRDefault="00F13C3C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ED72C0">
        <w:rPr>
          <w:rFonts w:ascii="Times New Roman" w:hAnsi="Times New Roman"/>
          <w:sz w:val="28"/>
          <w:szCs w:val="28"/>
        </w:rPr>
        <w:t xml:space="preserve"> України «</w:t>
      </w:r>
      <w:r w:rsidRPr="00F13C3C">
        <w:rPr>
          <w:rFonts w:ascii="Times New Roman" w:hAnsi="Times New Roman"/>
          <w:sz w:val="28"/>
          <w:szCs w:val="28"/>
        </w:rPr>
        <w:t>Про Перелік документів дозвільного характеру у сфері господарської діяльності»;</w:t>
      </w:r>
    </w:p>
    <w:p w14:paraId="166B8718" w14:textId="7DC8B4E2" w:rsidR="00B13730" w:rsidRDefault="000F04E5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адміністративні послуги»;</w:t>
      </w:r>
    </w:p>
    <w:p w14:paraId="11D9F10D" w14:textId="1CF93DA3" w:rsidR="000D7F2F" w:rsidRDefault="000D7F2F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ліцензування видів господарської діяльності»;</w:t>
      </w:r>
    </w:p>
    <w:p w14:paraId="05DCE887" w14:textId="74A11BC7" w:rsidR="000D7F2F" w:rsidRPr="00ED72C0" w:rsidRDefault="000D7F2F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дозвільну систему у сфері господарської діяльності»</w:t>
      </w:r>
    </w:p>
    <w:p w14:paraId="770954E9" w14:textId="72B546BB" w:rsidR="00ED72C0" w:rsidRPr="00ED72C0" w:rsidRDefault="00ED72C0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D72C0">
        <w:rPr>
          <w:rFonts w:ascii="Times New Roman" w:hAnsi="Times New Roman"/>
          <w:sz w:val="28"/>
          <w:szCs w:val="28"/>
        </w:rPr>
        <w:t>постанова Кабінету Міністрів України від 28 жовтня 2015 р. № 878 «Про затвердження Положення про Міністерство внутрішніх справ України» та інші.</w:t>
      </w:r>
    </w:p>
    <w:p w14:paraId="2595EF1E" w14:textId="41B5DF19" w:rsidR="00ED72C0" w:rsidRDefault="00ED72C0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Проектом постанови пропонується </w:t>
      </w:r>
      <w:r w:rsidRPr="00AC2A16">
        <w:rPr>
          <w:rFonts w:ascii="Times New Roman" w:hAnsi="Times New Roman"/>
          <w:sz w:val="28"/>
          <w:szCs w:val="28"/>
        </w:rPr>
        <w:t>визнання такою</w:t>
      </w:r>
      <w:r w:rsidR="000D7F2F">
        <w:rPr>
          <w:rFonts w:ascii="Times New Roman" w:hAnsi="Times New Roman"/>
          <w:sz w:val="28"/>
          <w:szCs w:val="28"/>
        </w:rPr>
        <w:t>, що втратила чинність постанови</w:t>
      </w:r>
      <w:r w:rsidRPr="00AC2A16">
        <w:rPr>
          <w:rFonts w:ascii="Times New Roman" w:hAnsi="Times New Roman"/>
          <w:sz w:val="28"/>
          <w:szCs w:val="28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</w:rPr>
        <w:t>12</w:t>
      </w:r>
      <w:r w:rsidRPr="00AC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 1992 р. № 576 «Про затвердження Положення про дозвільну систему»</w:t>
      </w:r>
      <w:r w:rsidRPr="00AC2A16">
        <w:rPr>
          <w:rFonts w:ascii="Times New Roman" w:hAnsi="Times New Roman"/>
          <w:sz w:val="28"/>
          <w:szCs w:val="28"/>
        </w:rPr>
        <w:t xml:space="preserve">, а також усі зміни, які вносилися до зазначеного </w:t>
      </w:r>
      <w:proofErr w:type="spellStart"/>
      <w:r w:rsidRPr="00AC2A16">
        <w:rPr>
          <w:rFonts w:ascii="Times New Roman" w:hAnsi="Times New Roman"/>
          <w:sz w:val="28"/>
          <w:szCs w:val="28"/>
        </w:rPr>
        <w:t>акта</w:t>
      </w:r>
      <w:proofErr w:type="spellEnd"/>
      <w:r w:rsidRPr="00AC2A16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</w:rPr>
        <w:t>.</w:t>
      </w:r>
    </w:p>
    <w:p w14:paraId="3F8DD325" w14:textId="77777777" w:rsidR="00ED72C0" w:rsidRPr="003575AA" w:rsidRDefault="00ED72C0" w:rsidP="00ED72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</w:rPr>
        <w:t xml:space="preserve">Реалізація проекту постанови не потребує розроблення нових актів. </w:t>
      </w:r>
    </w:p>
    <w:p w14:paraId="2FD3955A" w14:textId="77777777" w:rsidR="00ED72C0" w:rsidRPr="003575AA" w:rsidRDefault="00ED72C0" w:rsidP="00717D4D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351AC5" w14:textId="17248005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hAnsi="Times New Roman"/>
          <w:b/>
          <w:sz w:val="28"/>
          <w:szCs w:val="28"/>
        </w:rPr>
        <w:t>4</w:t>
      </w:r>
      <w:r w:rsidR="0034177A" w:rsidRPr="003575AA">
        <w:rPr>
          <w:rFonts w:ascii="Times New Roman" w:hAnsi="Times New Roman"/>
          <w:b/>
          <w:sz w:val="28"/>
          <w:szCs w:val="28"/>
        </w:rPr>
        <w:t xml:space="preserve">. </w:t>
      </w:r>
      <w:r w:rsidRPr="003575AA">
        <w:rPr>
          <w:rFonts w:ascii="Times New Roman" w:hAnsi="Times New Roman"/>
          <w:b/>
          <w:sz w:val="28"/>
          <w:szCs w:val="28"/>
        </w:rPr>
        <w:t>Фінансово</w:t>
      </w:r>
      <w:r w:rsidRPr="003575AA">
        <w:rPr>
          <w:rFonts w:ascii="Times New Roman" w:hAnsi="Times New Roman"/>
          <w:b/>
          <w:sz w:val="28"/>
          <w:szCs w:val="28"/>
          <w:lang w:eastAsia="ru-RU"/>
        </w:rPr>
        <w:t>-економічне обґрунтування</w:t>
      </w:r>
    </w:p>
    <w:p w14:paraId="2C50CA10" w14:textId="2D8183FF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Реалізація </w:t>
      </w:r>
      <w:r w:rsidR="0034177A" w:rsidRPr="003575AA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потребує додаткового фінансування </w:t>
      </w:r>
      <w:r w:rsidRPr="003575AA">
        <w:rPr>
          <w:rFonts w:ascii="Times New Roman" w:hAnsi="Times New Roman"/>
          <w:sz w:val="28"/>
          <w:szCs w:val="28"/>
        </w:rPr>
        <w:t>з державного чи місцевого бюджетів.</w:t>
      </w:r>
    </w:p>
    <w:p w14:paraId="5CB1A11B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86363E" w14:textId="77777777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5. Позиція зацікавлених органів</w:t>
      </w:r>
    </w:p>
    <w:p w14:paraId="0CDBDEC4" w14:textId="507A22A9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 xml:space="preserve">постанови 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потребує погодження з </w:t>
      </w:r>
      <w:r w:rsidR="0059340D">
        <w:rPr>
          <w:rFonts w:ascii="Times New Roman" w:hAnsi="Times New Roman"/>
          <w:sz w:val="28"/>
          <w:szCs w:val="28"/>
          <w:lang w:eastAsia="ru-RU"/>
        </w:rPr>
        <w:t xml:space="preserve">Міністерством внутрішніх справ України, </w:t>
      </w:r>
      <w:bookmarkStart w:id="14" w:name="_GoBack"/>
      <w:bookmarkEnd w:id="14"/>
      <w:r w:rsidRPr="003575AA">
        <w:rPr>
          <w:rFonts w:ascii="Times New Roman" w:hAnsi="Times New Roman"/>
          <w:sz w:val="28"/>
          <w:szCs w:val="28"/>
          <w:lang w:eastAsia="ru-RU"/>
        </w:rPr>
        <w:t>Міністерством фінансів України,</w:t>
      </w:r>
      <w:r w:rsidR="0007628B" w:rsidRPr="003575AA">
        <w:rPr>
          <w:rFonts w:ascii="Times New Roman" w:hAnsi="Times New Roman"/>
          <w:sz w:val="28"/>
          <w:szCs w:val="28"/>
          <w:lang w:eastAsia="ru-RU"/>
        </w:rPr>
        <w:t xml:space="preserve"> Міністерством юстиції України </w:t>
      </w:r>
      <w:r w:rsidRPr="003575AA">
        <w:rPr>
          <w:rFonts w:ascii="Times New Roman" w:hAnsi="Times New Roman"/>
          <w:sz w:val="28"/>
          <w:szCs w:val="28"/>
          <w:lang w:eastAsia="ru-RU"/>
        </w:rPr>
        <w:t>та Державною регуляторною службою України.</w:t>
      </w:r>
    </w:p>
    <w:p w14:paraId="0F11017C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809574" w14:textId="5398B35A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5AA">
        <w:rPr>
          <w:rFonts w:ascii="Times New Roman" w:hAnsi="Times New Roman"/>
          <w:b/>
          <w:sz w:val="28"/>
          <w:szCs w:val="28"/>
        </w:rPr>
        <w:t>6.</w:t>
      </w:r>
      <w:r w:rsidR="0034177A" w:rsidRPr="003575AA">
        <w:rPr>
          <w:rFonts w:ascii="Times New Roman" w:hAnsi="Times New Roman"/>
          <w:b/>
          <w:sz w:val="28"/>
          <w:szCs w:val="28"/>
        </w:rPr>
        <w:t xml:space="preserve"> </w:t>
      </w:r>
      <w:r w:rsidRPr="003575AA">
        <w:rPr>
          <w:rFonts w:ascii="Times New Roman" w:hAnsi="Times New Roman"/>
          <w:b/>
          <w:sz w:val="28"/>
          <w:szCs w:val="28"/>
        </w:rPr>
        <w:t>Регіональний аспект</w:t>
      </w:r>
    </w:p>
    <w:p w14:paraId="36F26C44" w14:textId="20C362AA" w:rsidR="0020214A" w:rsidRPr="003575AA" w:rsidRDefault="0020214A" w:rsidP="00964D0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стосується питання розвитку адміністративно-територіальних одиниць.</w:t>
      </w:r>
    </w:p>
    <w:p w14:paraId="02ACC9A3" w14:textId="77777777" w:rsidR="00DD02F4" w:rsidRPr="003575AA" w:rsidRDefault="00DD02F4" w:rsidP="00DD02F4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F263EA6" w14:textId="77777777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575AA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3575AA">
        <w:rPr>
          <w:rFonts w:ascii="Times New Roman" w:hAnsi="Times New Roman"/>
          <w:b/>
          <w:sz w:val="28"/>
          <w:szCs w:val="28"/>
          <w:lang w:eastAsia="ru-RU"/>
        </w:rPr>
        <w:t>. Запобігання дискримінації</w:t>
      </w:r>
    </w:p>
    <w:p w14:paraId="493E0DDE" w14:textId="4ABAEB76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n1178"/>
      <w:bookmarkEnd w:id="15"/>
      <w:r w:rsidRPr="003575AA">
        <w:rPr>
          <w:rFonts w:ascii="Times New Roman" w:hAnsi="Times New Roman"/>
          <w:sz w:val="28"/>
          <w:szCs w:val="28"/>
          <w:lang w:eastAsia="ru-RU"/>
        </w:rPr>
        <w:t xml:space="preserve">У проекті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відсутні положення, що містять ознаки дискримінації. </w:t>
      </w:r>
    </w:p>
    <w:p w14:paraId="7FE7F018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1BAE4A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Запобігання корупції </w:t>
      </w:r>
    </w:p>
    <w:p w14:paraId="5BFA2C6A" w14:textId="5F7E37F2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містить правил і процедур, які можуть містити ризики вчинення корупційних правопорушень.</w:t>
      </w:r>
    </w:p>
    <w:p w14:paraId="2786CF0D" w14:textId="50CC8006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потребує проведення громадської антикорупційної експертизи.</w:t>
      </w:r>
    </w:p>
    <w:p w14:paraId="5058590B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7354A0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Громадське обговорення </w:t>
      </w:r>
    </w:p>
    <w:p w14:paraId="60824AC6" w14:textId="643AD1ED" w:rsidR="0020214A" w:rsidRPr="003575AA" w:rsidRDefault="0020214A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2F4" w:rsidRPr="003575AA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3575AA">
        <w:rPr>
          <w:rFonts w:ascii="Times New Roman" w:hAnsi="Times New Roman"/>
          <w:sz w:val="28"/>
          <w:szCs w:val="28"/>
          <w:lang w:eastAsia="ru-RU"/>
        </w:rPr>
        <w:t>потребує проведення консультацій з громадськістю.</w:t>
      </w:r>
    </w:p>
    <w:p w14:paraId="3F944A56" w14:textId="77777777" w:rsidR="00DD02F4" w:rsidRPr="003575AA" w:rsidRDefault="00DD02F4" w:rsidP="00DD02F4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FD2C0C" w14:textId="77777777" w:rsidR="0020214A" w:rsidRPr="003575AA" w:rsidRDefault="0020214A" w:rsidP="0099678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9. Позиція соціальних партнерів</w:t>
      </w:r>
    </w:p>
    <w:p w14:paraId="5D8FC7BD" w14:textId="0FA61661" w:rsidR="0020214A" w:rsidRPr="003575AA" w:rsidRDefault="0020214A" w:rsidP="00DE1E5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стосується питань соціально-трудової сфери.</w:t>
      </w:r>
    </w:p>
    <w:p w14:paraId="2AEF7539" w14:textId="77777777" w:rsidR="0020214A" w:rsidRPr="003575AA" w:rsidRDefault="0020214A" w:rsidP="00DE1E5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10. Оцінка регуляторного впливу</w:t>
      </w:r>
    </w:p>
    <w:p w14:paraId="0EFF1244" w14:textId="6521FA21" w:rsidR="0020214A" w:rsidRPr="00D876FB" w:rsidRDefault="00F40AB2" w:rsidP="00DE1E5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E11F4" w:rsidRPr="00D876FB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793D87" w:rsidRPr="00D876FB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="00D876FB" w:rsidRPr="00D87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1F4" w:rsidRPr="00D876FB">
        <w:rPr>
          <w:rFonts w:ascii="Times New Roman" w:eastAsia="Times New Roman" w:hAnsi="Times New Roman"/>
          <w:sz w:val="28"/>
          <w:szCs w:val="28"/>
          <w:lang w:eastAsia="ru-RU"/>
        </w:rPr>
        <w:t>є регуляторним актом.</w:t>
      </w:r>
    </w:p>
    <w:p w14:paraId="5F1EB19C" w14:textId="77777777" w:rsidR="0020214A" w:rsidRPr="003575AA" w:rsidRDefault="0020214A" w:rsidP="00DE1E5A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3575AA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Вплив реалізації </w:t>
      </w:r>
      <w:proofErr w:type="spellStart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ринок праці</w:t>
      </w:r>
    </w:p>
    <w:p w14:paraId="3790A45C" w14:textId="1A1609CD" w:rsidR="0020214A" w:rsidRPr="003575AA" w:rsidRDefault="0020214A" w:rsidP="003B51F1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575AA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793D87" w:rsidRPr="003575AA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3575AA">
        <w:rPr>
          <w:rFonts w:ascii="Times New Roman" w:hAnsi="Times New Roman"/>
          <w:sz w:val="28"/>
          <w:szCs w:val="28"/>
          <w:lang w:eastAsia="ru-RU"/>
        </w:rPr>
        <w:t xml:space="preserve"> не спрямований на регулювання трудових відносин, тому реалізація його положень не вплине на ринок праці.</w:t>
      </w:r>
    </w:p>
    <w:p w14:paraId="5A82ADF3" w14:textId="77777777" w:rsidR="003B51F1" w:rsidRPr="003575AA" w:rsidRDefault="003B51F1" w:rsidP="003B51F1">
      <w:pPr>
        <w:pStyle w:val="af1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BFCE9A3" w14:textId="21F11C1B" w:rsidR="0020214A" w:rsidRPr="003575AA" w:rsidRDefault="0020214A" w:rsidP="00626CF2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5AA">
        <w:rPr>
          <w:rFonts w:ascii="Times New Roman" w:eastAsia="Times New Roman" w:hAnsi="Times New Roman"/>
          <w:b/>
          <w:sz w:val="28"/>
          <w:szCs w:val="28"/>
          <w:lang w:eastAsia="ru-RU"/>
        </w:rPr>
        <w:t>11. Прогноз результатів</w:t>
      </w:r>
    </w:p>
    <w:p w14:paraId="7DCE29CC" w14:textId="7A2D18B3" w:rsidR="00273D5F" w:rsidRPr="00273D5F" w:rsidRDefault="00B61D67" w:rsidP="00273D5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Прийняття проекту </w:t>
      </w:r>
      <w:r w:rsidR="002A6F2E" w:rsidRPr="00273D5F">
        <w:rPr>
          <w:rFonts w:ascii="Times New Roman" w:eastAsia="Times New Roman" w:hAnsi="Times New Roman"/>
          <w:sz w:val="28"/>
          <w:szCs w:val="28"/>
          <w:lang w:eastAsia="ru-RU"/>
        </w:rPr>
        <w:t>постанови</w:t>
      </w:r>
      <w:r w:rsidRPr="00273D5F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забезпечить </w:t>
      </w:r>
      <w:r w:rsidR="00273D5F" w:rsidRPr="00273D5F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вимог </w:t>
      </w:r>
      <w:r w:rsidR="00273D5F">
        <w:rPr>
          <w:rFonts w:ascii="Times New Roman" w:hAnsi="Times New Roman"/>
          <w:sz w:val="28"/>
          <w:szCs w:val="28"/>
        </w:rPr>
        <w:t>Господарського кодексу України,</w:t>
      </w:r>
      <w:r w:rsidR="00273D5F" w:rsidRPr="00273D5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Законів України «Про ліцензування видів господарської діяльності», «Про </w:t>
      </w:r>
      <w:r w:rsidR="00273D5F" w:rsidRPr="00ED72C0">
        <w:rPr>
          <w:rFonts w:ascii="Times New Roman" w:hAnsi="Times New Roman"/>
          <w:sz w:val="28"/>
          <w:szCs w:val="28"/>
        </w:rPr>
        <w:t>основні засади державного нагляду (контролю) у сфері господарської діяльності</w:t>
      </w:r>
      <w:r w:rsidR="00273D5F" w:rsidRPr="00273D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73D5F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273D5F" w:rsidRPr="00F13C3C">
        <w:rPr>
          <w:rFonts w:ascii="Times New Roman" w:hAnsi="Times New Roman"/>
          <w:sz w:val="28"/>
          <w:szCs w:val="28"/>
        </w:rPr>
        <w:t>Про Перелік документів дозвільного характеру у сфері господарської діяльності</w:t>
      </w:r>
      <w:r w:rsidR="00273D5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273D5F">
        <w:rPr>
          <w:rFonts w:ascii="Times New Roman" w:hAnsi="Times New Roman"/>
          <w:sz w:val="28"/>
          <w:szCs w:val="28"/>
        </w:rPr>
        <w:t>Про дозвільну систему у сфері господарської діяльності</w:t>
      </w:r>
      <w:r w:rsidR="00273D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73D5F" w:rsidRPr="00273D5F">
        <w:rPr>
          <w:rFonts w:ascii="Times New Roman" w:eastAsia="Times New Roman" w:hAnsi="Times New Roman"/>
          <w:sz w:val="28"/>
          <w:szCs w:val="28"/>
          <w:lang w:eastAsia="ru-RU"/>
        </w:rPr>
        <w:t>, а також призведе до зменшення адміністративного ти</w:t>
      </w:r>
      <w:r w:rsidR="00273D5F">
        <w:rPr>
          <w:rFonts w:ascii="Times New Roman" w:eastAsia="Times New Roman" w:hAnsi="Times New Roman"/>
          <w:sz w:val="28"/>
          <w:szCs w:val="28"/>
          <w:lang w:eastAsia="ru-RU"/>
        </w:rPr>
        <w:t>ску на суб’єктів господарювання</w:t>
      </w:r>
      <w:r w:rsidR="00273D5F" w:rsidRPr="00273D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34177A" w:rsidRPr="003575AA" w14:paraId="702515E1" w14:textId="77777777" w:rsidTr="00B61D67">
        <w:tc>
          <w:tcPr>
            <w:tcW w:w="5670" w:type="dxa"/>
          </w:tcPr>
          <w:p w14:paraId="23034D7B" w14:textId="77C8F555" w:rsidR="00B61D67" w:rsidRPr="003575AA" w:rsidRDefault="00B61D67" w:rsidP="00C1049A">
            <w:pPr>
              <w:widowControl w:val="0"/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14:paraId="7378AD98" w14:textId="77777777" w:rsidR="00B61D67" w:rsidRPr="003575AA" w:rsidRDefault="00B61D67" w:rsidP="00C1049A">
            <w:pPr>
              <w:widowControl w:val="0"/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14:paraId="729408D9" w14:textId="0A3AB936" w:rsidR="0034177A" w:rsidRPr="003575AA" w:rsidRDefault="0034177A" w:rsidP="00C1049A">
            <w:pPr>
              <w:widowControl w:val="0"/>
              <w:spacing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Перший Віце-прем’єр-міністр України – 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 xml:space="preserve">Міністр економічного </w:t>
            </w: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br/>
              <w:t>розвитку і торгівлі України</w:t>
            </w:r>
          </w:p>
        </w:tc>
        <w:tc>
          <w:tcPr>
            <w:tcW w:w="3686" w:type="dxa"/>
            <w:vAlign w:val="bottom"/>
          </w:tcPr>
          <w:p w14:paraId="34245030" w14:textId="4A11AD31" w:rsidR="0034177A" w:rsidRPr="003575AA" w:rsidRDefault="0034177A" w:rsidP="00C1049A">
            <w:pPr>
              <w:widowControl w:val="0"/>
              <w:spacing w:after="6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75A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Степан Кубів</w:t>
            </w:r>
          </w:p>
        </w:tc>
      </w:tr>
    </w:tbl>
    <w:p w14:paraId="2D98AA8C" w14:textId="77777777" w:rsidR="00EE539B" w:rsidRPr="00C1049A" w:rsidRDefault="00EE539B" w:rsidP="00626CF2">
      <w:pPr>
        <w:widowControl w:val="0"/>
        <w:spacing w:after="60"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EE539B" w:rsidRPr="00C1049A" w:rsidSect="0056235D">
      <w:headerReference w:type="default" r:id="rId10"/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D829" w14:textId="77777777" w:rsidR="00F62FF2" w:rsidRDefault="00F62FF2" w:rsidP="0034177A">
      <w:pPr>
        <w:spacing w:after="0" w:line="240" w:lineRule="auto"/>
      </w:pPr>
      <w:r>
        <w:separator/>
      </w:r>
    </w:p>
  </w:endnote>
  <w:endnote w:type="continuationSeparator" w:id="0">
    <w:p w14:paraId="463DF5E4" w14:textId="77777777" w:rsidR="00F62FF2" w:rsidRDefault="00F62FF2" w:rsidP="0034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057E" w14:textId="77777777" w:rsidR="00F62FF2" w:rsidRDefault="00F62FF2" w:rsidP="0034177A">
      <w:pPr>
        <w:spacing w:after="0" w:line="240" w:lineRule="auto"/>
      </w:pPr>
      <w:r>
        <w:separator/>
      </w:r>
    </w:p>
  </w:footnote>
  <w:footnote w:type="continuationSeparator" w:id="0">
    <w:p w14:paraId="78568FDD" w14:textId="77777777" w:rsidR="00F62FF2" w:rsidRDefault="00F62FF2" w:rsidP="0034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0777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A7D290" w14:textId="0CB8FFC4" w:rsidR="0034177A" w:rsidRPr="00C1049A" w:rsidRDefault="0034177A" w:rsidP="00C1049A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C1049A">
          <w:rPr>
            <w:rFonts w:ascii="Times New Roman" w:hAnsi="Times New Roman"/>
            <w:sz w:val="24"/>
            <w:szCs w:val="24"/>
          </w:rPr>
          <w:fldChar w:fldCharType="begin"/>
        </w:r>
        <w:r w:rsidRPr="00C104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1049A">
          <w:rPr>
            <w:rFonts w:ascii="Times New Roman" w:hAnsi="Times New Roman"/>
            <w:sz w:val="24"/>
            <w:szCs w:val="24"/>
          </w:rPr>
          <w:fldChar w:fldCharType="separate"/>
        </w:r>
        <w:r w:rsidR="0059340D" w:rsidRPr="0059340D">
          <w:rPr>
            <w:rFonts w:ascii="Times New Roman" w:hAnsi="Times New Roman"/>
            <w:noProof/>
            <w:sz w:val="24"/>
            <w:szCs w:val="24"/>
            <w:lang w:val="ru-RU"/>
          </w:rPr>
          <w:t>6</w:t>
        </w:r>
        <w:r w:rsidRPr="00C104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730"/>
    <w:multiLevelType w:val="hybridMultilevel"/>
    <w:tmpl w:val="F216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7BB"/>
    <w:multiLevelType w:val="hybridMultilevel"/>
    <w:tmpl w:val="CE50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B84"/>
    <w:multiLevelType w:val="hybridMultilevel"/>
    <w:tmpl w:val="D0D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A57"/>
    <w:multiLevelType w:val="hybridMultilevel"/>
    <w:tmpl w:val="423E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497F"/>
    <w:multiLevelType w:val="hybridMultilevel"/>
    <w:tmpl w:val="8FE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44AA"/>
    <w:multiLevelType w:val="hybridMultilevel"/>
    <w:tmpl w:val="E73EC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B32845"/>
    <w:multiLevelType w:val="hybridMultilevel"/>
    <w:tmpl w:val="50CA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16B"/>
    <w:multiLevelType w:val="hybridMultilevel"/>
    <w:tmpl w:val="A56EDA0A"/>
    <w:lvl w:ilvl="0" w:tplc="1196F2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9E9"/>
    <w:multiLevelType w:val="hybridMultilevel"/>
    <w:tmpl w:val="C6F07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D7791"/>
    <w:multiLevelType w:val="hybridMultilevel"/>
    <w:tmpl w:val="9364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9BA"/>
    <w:multiLevelType w:val="hybridMultilevel"/>
    <w:tmpl w:val="774C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6403"/>
    <w:multiLevelType w:val="hybridMultilevel"/>
    <w:tmpl w:val="28E0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F192C"/>
    <w:multiLevelType w:val="hybridMultilevel"/>
    <w:tmpl w:val="B9BE5C46"/>
    <w:lvl w:ilvl="0" w:tplc="2990FC2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01213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00908"/>
    <w:multiLevelType w:val="hybridMultilevel"/>
    <w:tmpl w:val="4B7A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4FE8"/>
    <w:multiLevelType w:val="hybridMultilevel"/>
    <w:tmpl w:val="82D4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045E3"/>
    <w:multiLevelType w:val="hybridMultilevel"/>
    <w:tmpl w:val="93FA6BC4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>
      <w:start w:val="1"/>
      <w:numFmt w:val="lowerLetter"/>
      <w:lvlText w:val="%2."/>
      <w:lvlJc w:val="left"/>
      <w:pPr>
        <w:ind w:left="1757" w:hanging="360"/>
      </w:pPr>
    </w:lvl>
    <w:lvl w:ilvl="2" w:tplc="0422001B">
      <w:start w:val="1"/>
      <w:numFmt w:val="lowerRoman"/>
      <w:lvlText w:val="%3."/>
      <w:lvlJc w:val="right"/>
      <w:pPr>
        <w:ind w:left="2477" w:hanging="180"/>
      </w:pPr>
    </w:lvl>
    <w:lvl w:ilvl="3" w:tplc="0422000F">
      <w:start w:val="1"/>
      <w:numFmt w:val="decimal"/>
      <w:lvlText w:val="%4."/>
      <w:lvlJc w:val="left"/>
      <w:pPr>
        <w:ind w:left="3197" w:hanging="360"/>
      </w:pPr>
    </w:lvl>
    <w:lvl w:ilvl="4" w:tplc="04220019">
      <w:start w:val="1"/>
      <w:numFmt w:val="lowerLetter"/>
      <w:lvlText w:val="%5."/>
      <w:lvlJc w:val="left"/>
      <w:pPr>
        <w:ind w:left="3917" w:hanging="360"/>
      </w:pPr>
    </w:lvl>
    <w:lvl w:ilvl="5" w:tplc="0422001B">
      <w:start w:val="1"/>
      <w:numFmt w:val="lowerRoman"/>
      <w:lvlText w:val="%6."/>
      <w:lvlJc w:val="right"/>
      <w:pPr>
        <w:ind w:left="4637" w:hanging="180"/>
      </w:pPr>
    </w:lvl>
    <w:lvl w:ilvl="6" w:tplc="0422000F">
      <w:start w:val="1"/>
      <w:numFmt w:val="decimal"/>
      <w:lvlText w:val="%7."/>
      <w:lvlJc w:val="left"/>
      <w:pPr>
        <w:ind w:left="5357" w:hanging="360"/>
      </w:pPr>
    </w:lvl>
    <w:lvl w:ilvl="7" w:tplc="04220019">
      <w:start w:val="1"/>
      <w:numFmt w:val="lowerLetter"/>
      <w:lvlText w:val="%8."/>
      <w:lvlJc w:val="left"/>
      <w:pPr>
        <w:ind w:left="6077" w:hanging="360"/>
      </w:pPr>
    </w:lvl>
    <w:lvl w:ilvl="8" w:tplc="0422001B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4DDC31FF"/>
    <w:multiLevelType w:val="hybridMultilevel"/>
    <w:tmpl w:val="7A28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C305C"/>
    <w:multiLevelType w:val="hybridMultilevel"/>
    <w:tmpl w:val="00D064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216EF2"/>
    <w:multiLevelType w:val="hybridMultilevel"/>
    <w:tmpl w:val="F3E096D6"/>
    <w:lvl w:ilvl="0" w:tplc="860CE9E0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47380"/>
    <w:multiLevelType w:val="hybridMultilevel"/>
    <w:tmpl w:val="2996E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A3C"/>
    <w:multiLevelType w:val="hybridMultilevel"/>
    <w:tmpl w:val="1650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7BAD"/>
    <w:multiLevelType w:val="hybridMultilevel"/>
    <w:tmpl w:val="B838D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F96899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693B1C"/>
    <w:multiLevelType w:val="hybridMultilevel"/>
    <w:tmpl w:val="252099CC"/>
    <w:lvl w:ilvl="0" w:tplc="A07C476A">
      <w:start w:val="1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C063E70"/>
    <w:multiLevelType w:val="hybridMultilevel"/>
    <w:tmpl w:val="1648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5B4B"/>
    <w:multiLevelType w:val="hybridMultilevel"/>
    <w:tmpl w:val="3EA84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27"/>
  </w:num>
  <w:num w:numId="9">
    <w:abstractNumId w:val="17"/>
  </w:num>
  <w:num w:numId="10">
    <w:abstractNumId w:val="10"/>
  </w:num>
  <w:num w:numId="11">
    <w:abstractNumId w:val="4"/>
  </w:num>
  <w:num w:numId="12">
    <w:abstractNumId w:val="26"/>
  </w:num>
  <w:num w:numId="13">
    <w:abstractNumId w:val="18"/>
  </w:num>
  <w:num w:numId="14">
    <w:abstractNumId w:val="2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22"/>
  </w:num>
  <w:num w:numId="21">
    <w:abstractNumId w:val="15"/>
  </w:num>
  <w:num w:numId="22">
    <w:abstractNumId w:val="23"/>
  </w:num>
  <w:num w:numId="23">
    <w:abstractNumId w:val="13"/>
  </w:num>
  <w:num w:numId="24">
    <w:abstractNumId w:val="24"/>
  </w:num>
  <w:num w:numId="25">
    <w:abstractNumId w:val="5"/>
  </w:num>
  <w:num w:numId="26">
    <w:abstractNumId w:val="25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E9"/>
    <w:rsid w:val="000136B2"/>
    <w:rsid w:val="00022024"/>
    <w:rsid w:val="00030FC4"/>
    <w:rsid w:val="00042CE9"/>
    <w:rsid w:val="00044580"/>
    <w:rsid w:val="0005084E"/>
    <w:rsid w:val="0005495C"/>
    <w:rsid w:val="000674D7"/>
    <w:rsid w:val="0007628B"/>
    <w:rsid w:val="00080676"/>
    <w:rsid w:val="00086673"/>
    <w:rsid w:val="000923B9"/>
    <w:rsid w:val="000A0AB1"/>
    <w:rsid w:val="000A38B1"/>
    <w:rsid w:val="000A7C5B"/>
    <w:rsid w:val="000B29A3"/>
    <w:rsid w:val="000B4000"/>
    <w:rsid w:val="000D12F3"/>
    <w:rsid w:val="000D54CA"/>
    <w:rsid w:val="000D7F2F"/>
    <w:rsid w:val="000F04E5"/>
    <w:rsid w:val="000F48E5"/>
    <w:rsid w:val="00101797"/>
    <w:rsid w:val="001075A8"/>
    <w:rsid w:val="001110F8"/>
    <w:rsid w:val="001414AB"/>
    <w:rsid w:val="00143D15"/>
    <w:rsid w:val="0015721D"/>
    <w:rsid w:val="0017260F"/>
    <w:rsid w:val="001751F2"/>
    <w:rsid w:val="00175C2D"/>
    <w:rsid w:val="001918DA"/>
    <w:rsid w:val="001A2A4A"/>
    <w:rsid w:val="001B3362"/>
    <w:rsid w:val="001B592E"/>
    <w:rsid w:val="001D44D5"/>
    <w:rsid w:val="001D6A06"/>
    <w:rsid w:val="001E4C1C"/>
    <w:rsid w:val="001E5835"/>
    <w:rsid w:val="002015EA"/>
    <w:rsid w:val="0020214A"/>
    <w:rsid w:val="00206FAF"/>
    <w:rsid w:val="002211F6"/>
    <w:rsid w:val="00234C94"/>
    <w:rsid w:val="002373A1"/>
    <w:rsid w:val="0024282D"/>
    <w:rsid w:val="0024336B"/>
    <w:rsid w:val="00252725"/>
    <w:rsid w:val="002551DA"/>
    <w:rsid w:val="00273D5F"/>
    <w:rsid w:val="00283D6C"/>
    <w:rsid w:val="00294F6D"/>
    <w:rsid w:val="002A6A22"/>
    <w:rsid w:val="002A6F2E"/>
    <w:rsid w:val="002D076C"/>
    <w:rsid w:val="002E5FF6"/>
    <w:rsid w:val="002F57A5"/>
    <w:rsid w:val="00300184"/>
    <w:rsid w:val="003001FE"/>
    <w:rsid w:val="00320E29"/>
    <w:rsid w:val="0032576C"/>
    <w:rsid w:val="0034177A"/>
    <w:rsid w:val="00342451"/>
    <w:rsid w:val="003575AA"/>
    <w:rsid w:val="00364A77"/>
    <w:rsid w:val="003965EB"/>
    <w:rsid w:val="003A6C01"/>
    <w:rsid w:val="003B51F1"/>
    <w:rsid w:val="003D4AF1"/>
    <w:rsid w:val="003E6C6F"/>
    <w:rsid w:val="00432A08"/>
    <w:rsid w:val="00433CDE"/>
    <w:rsid w:val="004360C6"/>
    <w:rsid w:val="004525D2"/>
    <w:rsid w:val="00455388"/>
    <w:rsid w:val="00455AFD"/>
    <w:rsid w:val="004570B7"/>
    <w:rsid w:val="00473C4D"/>
    <w:rsid w:val="00475638"/>
    <w:rsid w:val="0049756E"/>
    <w:rsid w:val="004B382E"/>
    <w:rsid w:val="004B3926"/>
    <w:rsid w:val="004B6AFF"/>
    <w:rsid w:val="004C0B92"/>
    <w:rsid w:val="004C3AC0"/>
    <w:rsid w:val="004C3C72"/>
    <w:rsid w:val="004D5915"/>
    <w:rsid w:val="004F0C89"/>
    <w:rsid w:val="004F51FA"/>
    <w:rsid w:val="00500085"/>
    <w:rsid w:val="0051357B"/>
    <w:rsid w:val="00554719"/>
    <w:rsid w:val="0056235D"/>
    <w:rsid w:val="00570365"/>
    <w:rsid w:val="0057187E"/>
    <w:rsid w:val="00576A55"/>
    <w:rsid w:val="00585FAA"/>
    <w:rsid w:val="0059340D"/>
    <w:rsid w:val="005B20A4"/>
    <w:rsid w:val="005C66DF"/>
    <w:rsid w:val="005E2FED"/>
    <w:rsid w:val="005F2044"/>
    <w:rsid w:val="005F762D"/>
    <w:rsid w:val="00616868"/>
    <w:rsid w:val="00626CF2"/>
    <w:rsid w:val="00631C04"/>
    <w:rsid w:val="00636A26"/>
    <w:rsid w:val="006476FB"/>
    <w:rsid w:val="00674E60"/>
    <w:rsid w:val="006750F4"/>
    <w:rsid w:val="00675DF7"/>
    <w:rsid w:val="00682706"/>
    <w:rsid w:val="00694388"/>
    <w:rsid w:val="006A0165"/>
    <w:rsid w:val="006A186A"/>
    <w:rsid w:val="006C00F9"/>
    <w:rsid w:val="006C5E60"/>
    <w:rsid w:val="006D45D7"/>
    <w:rsid w:val="00700854"/>
    <w:rsid w:val="00700CB3"/>
    <w:rsid w:val="00703D15"/>
    <w:rsid w:val="00717D4D"/>
    <w:rsid w:val="00733DD1"/>
    <w:rsid w:val="00764287"/>
    <w:rsid w:val="00764DB2"/>
    <w:rsid w:val="0077223D"/>
    <w:rsid w:val="00772FDD"/>
    <w:rsid w:val="007747D1"/>
    <w:rsid w:val="00780F06"/>
    <w:rsid w:val="00793D87"/>
    <w:rsid w:val="007B2A38"/>
    <w:rsid w:val="007B5798"/>
    <w:rsid w:val="007E11F4"/>
    <w:rsid w:val="007F017D"/>
    <w:rsid w:val="00805FE3"/>
    <w:rsid w:val="00806DBE"/>
    <w:rsid w:val="00806EF7"/>
    <w:rsid w:val="00812E35"/>
    <w:rsid w:val="00825D1A"/>
    <w:rsid w:val="00854928"/>
    <w:rsid w:val="00864BD5"/>
    <w:rsid w:val="008663F2"/>
    <w:rsid w:val="008774B9"/>
    <w:rsid w:val="008B3D6A"/>
    <w:rsid w:val="008C0D25"/>
    <w:rsid w:val="008C219B"/>
    <w:rsid w:val="008C2DFC"/>
    <w:rsid w:val="008C47FA"/>
    <w:rsid w:val="008E01B7"/>
    <w:rsid w:val="008F7640"/>
    <w:rsid w:val="00902C5B"/>
    <w:rsid w:val="0090566B"/>
    <w:rsid w:val="00907BD5"/>
    <w:rsid w:val="00910539"/>
    <w:rsid w:val="00937DF1"/>
    <w:rsid w:val="00944196"/>
    <w:rsid w:val="00946005"/>
    <w:rsid w:val="0095434B"/>
    <w:rsid w:val="00964D02"/>
    <w:rsid w:val="0097324F"/>
    <w:rsid w:val="00984E2E"/>
    <w:rsid w:val="00993AAF"/>
    <w:rsid w:val="00996781"/>
    <w:rsid w:val="009A0BE2"/>
    <w:rsid w:val="009D2032"/>
    <w:rsid w:val="009E21DF"/>
    <w:rsid w:val="009F1B03"/>
    <w:rsid w:val="009F5208"/>
    <w:rsid w:val="009F74AA"/>
    <w:rsid w:val="00A11106"/>
    <w:rsid w:val="00A1459B"/>
    <w:rsid w:val="00A17418"/>
    <w:rsid w:val="00A33A3A"/>
    <w:rsid w:val="00A36B81"/>
    <w:rsid w:val="00A53006"/>
    <w:rsid w:val="00A53B78"/>
    <w:rsid w:val="00A76B34"/>
    <w:rsid w:val="00A8098C"/>
    <w:rsid w:val="00AB1DF7"/>
    <w:rsid w:val="00AB5794"/>
    <w:rsid w:val="00AC2A16"/>
    <w:rsid w:val="00AD1EB5"/>
    <w:rsid w:val="00AD5EBD"/>
    <w:rsid w:val="00AE2177"/>
    <w:rsid w:val="00B13730"/>
    <w:rsid w:val="00B23D75"/>
    <w:rsid w:val="00B340A8"/>
    <w:rsid w:val="00B479FD"/>
    <w:rsid w:val="00B504D0"/>
    <w:rsid w:val="00B61D67"/>
    <w:rsid w:val="00BA47C6"/>
    <w:rsid w:val="00BB35A5"/>
    <w:rsid w:val="00BB53CA"/>
    <w:rsid w:val="00BB66F8"/>
    <w:rsid w:val="00BD45FF"/>
    <w:rsid w:val="00BE402D"/>
    <w:rsid w:val="00BF0CEC"/>
    <w:rsid w:val="00BF21E0"/>
    <w:rsid w:val="00BF2370"/>
    <w:rsid w:val="00C1049A"/>
    <w:rsid w:val="00C15259"/>
    <w:rsid w:val="00C208C4"/>
    <w:rsid w:val="00C46C19"/>
    <w:rsid w:val="00C47F41"/>
    <w:rsid w:val="00C62184"/>
    <w:rsid w:val="00C839D3"/>
    <w:rsid w:val="00CA6CBC"/>
    <w:rsid w:val="00CC1AC1"/>
    <w:rsid w:val="00CC2352"/>
    <w:rsid w:val="00CC2C81"/>
    <w:rsid w:val="00CC46CA"/>
    <w:rsid w:val="00CE440F"/>
    <w:rsid w:val="00CE4D1B"/>
    <w:rsid w:val="00D03679"/>
    <w:rsid w:val="00D4722C"/>
    <w:rsid w:val="00D827BD"/>
    <w:rsid w:val="00D8466F"/>
    <w:rsid w:val="00D876FB"/>
    <w:rsid w:val="00DA738E"/>
    <w:rsid w:val="00DB0FA4"/>
    <w:rsid w:val="00DB3E58"/>
    <w:rsid w:val="00DC03E4"/>
    <w:rsid w:val="00DD02F4"/>
    <w:rsid w:val="00DE1E5A"/>
    <w:rsid w:val="00DE3566"/>
    <w:rsid w:val="00DE5252"/>
    <w:rsid w:val="00E13856"/>
    <w:rsid w:val="00E13FCC"/>
    <w:rsid w:val="00E141B3"/>
    <w:rsid w:val="00E27F9C"/>
    <w:rsid w:val="00E32C6C"/>
    <w:rsid w:val="00E77E9E"/>
    <w:rsid w:val="00EA33B2"/>
    <w:rsid w:val="00ED0EC9"/>
    <w:rsid w:val="00ED72C0"/>
    <w:rsid w:val="00EE25AB"/>
    <w:rsid w:val="00EE539B"/>
    <w:rsid w:val="00EE5C98"/>
    <w:rsid w:val="00F13C3C"/>
    <w:rsid w:val="00F23C51"/>
    <w:rsid w:val="00F40974"/>
    <w:rsid w:val="00F40AB2"/>
    <w:rsid w:val="00F40EDF"/>
    <w:rsid w:val="00F44F66"/>
    <w:rsid w:val="00F4508A"/>
    <w:rsid w:val="00F5773B"/>
    <w:rsid w:val="00F62BD0"/>
    <w:rsid w:val="00F62FF2"/>
    <w:rsid w:val="00F81D34"/>
    <w:rsid w:val="00FA0036"/>
    <w:rsid w:val="00FA1908"/>
    <w:rsid w:val="00FC644B"/>
    <w:rsid w:val="00FD1B1B"/>
    <w:rsid w:val="00FD2365"/>
    <w:rsid w:val="00FD6EA4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E79"/>
  <w15:docId w15:val="{947E9BE9-AF57-41A6-942B-D66D72C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14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021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20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14A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20214A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annotation reference"/>
    <w:basedOn w:val="a0"/>
    <w:uiPriority w:val="99"/>
    <w:semiHidden/>
    <w:unhideWhenUsed/>
    <w:rsid w:val="00576A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A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A55"/>
    <w:rPr>
      <w:rFonts w:ascii="Calibri" w:eastAsia="Calibri" w:hAnsi="Calibri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A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A55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7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A55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37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77A"/>
    <w:rPr>
      <w:rFonts w:ascii="Calibri" w:eastAsia="Calibri" w:hAnsi="Calibri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34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77A"/>
    <w:rPr>
      <w:rFonts w:ascii="Calibri" w:eastAsia="Calibri" w:hAnsi="Calibri" w:cs="Times New Roman"/>
      <w:lang w:val="uk-UA"/>
    </w:rPr>
  </w:style>
  <w:style w:type="table" w:styleId="af0">
    <w:name w:val="Table Grid"/>
    <w:basedOn w:val="a1"/>
    <w:uiPriority w:val="59"/>
    <w:rsid w:val="0034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015E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rsid w:val="00F40AB2"/>
  </w:style>
  <w:style w:type="paragraph" w:customStyle="1" w:styleId="rvps6">
    <w:name w:val="rvps6"/>
    <w:basedOn w:val="a"/>
    <w:rsid w:val="0063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2">
    <w:name w:val="rvps2"/>
    <w:basedOn w:val="a"/>
    <w:rsid w:val="008B3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Hyperlink"/>
    <w:basedOn w:val="a0"/>
    <w:uiPriority w:val="99"/>
    <w:semiHidden/>
    <w:unhideWhenUsed/>
    <w:rsid w:val="008B3D6A"/>
    <w:rPr>
      <w:color w:val="0000FF"/>
      <w:u w:val="single"/>
    </w:rPr>
  </w:style>
  <w:style w:type="character" w:customStyle="1" w:styleId="rvts46">
    <w:name w:val="rvts46"/>
    <w:basedOn w:val="a0"/>
    <w:rsid w:val="008B3D6A"/>
  </w:style>
  <w:style w:type="character" w:customStyle="1" w:styleId="rvts0">
    <w:name w:val="rvts0"/>
    <w:basedOn w:val="a0"/>
    <w:rsid w:val="00733DD1"/>
  </w:style>
  <w:style w:type="character" w:customStyle="1" w:styleId="rvts9">
    <w:name w:val="rvts9"/>
    <w:basedOn w:val="a0"/>
    <w:rsid w:val="00FA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00-2015-%D0%BF/para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77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035C-D250-4DCD-AEEF-0D8E86DA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9736</Words>
  <Characters>5551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Leonid Lytvynenko</cp:lastModifiedBy>
  <cp:revision>3</cp:revision>
  <cp:lastPrinted>2017-04-13T12:01:00Z</cp:lastPrinted>
  <dcterms:created xsi:type="dcterms:W3CDTF">2017-10-18T06:58:00Z</dcterms:created>
  <dcterms:modified xsi:type="dcterms:W3CDTF">2017-10-18T07:00:00Z</dcterms:modified>
</cp:coreProperties>
</file>