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88" w:rsidRDefault="00410FC7" w:rsidP="00191F88">
      <w:pPr>
        <w:shd w:val="clear" w:color="auto" w:fill="FFFFFF"/>
        <w:spacing w:after="0" w:line="240" w:lineRule="auto"/>
        <w:ind w:left="450" w:right="450"/>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ПОЯСНЮВАЛЬНА ЗАПИСКА</w:t>
      </w:r>
      <w:r>
        <w:rPr>
          <w:rFonts w:ascii="Times New Roman" w:eastAsia="Times New Roman" w:hAnsi="Times New Roman"/>
          <w:b/>
          <w:sz w:val="28"/>
          <w:szCs w:val="28"/>
          <w:lang w:eastAsia="ru-RU"/>
        </w:rPr>
        <w:br/>
      </w:r>
      <w:r w:rsidR="00C710C4" w:rsidRPr="00E03BD7">
        <w:rPr>
          <w:rFonts w:ascii="Times New Roman" w:eastAsia="Times New Roman" w:hAnsi="Times New Roman"/>
          <w:b/>
          <w:sz w:val="28"/>
          <w:szCs w:val="28"/>
          <w:lang w:eastAsia="ru-RU"/>
        </w:rPr>
        <w:t>до проекту постанови Кабінету Міністрів України</w:t>
      </w:r>
    </w:p>
    <w:p w:rsidR="00D30669" w:rsidRPr="00D30669" w:rsidRDefault="00582C7B" w:rsidP="00191F8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bdr w:val="none" w:sz="0" w:space="0" w:color="auto" w:frame="1"/>
          <w:lang w:eastAsia="uk-UA"/>
        </w:rPr>
      </w:pPr>
      <w:bookmarkStart w:id="0" w:name="_Hlk496718902"/>
      <w:r>
        <w:rPr>
          <w:rFonts w:ascii="Times New Roman" w:hAnsi="Times New Roman"/>
          <w:b/>
          <w:sz w:val="28"/>
          <w:szCs w:val="28"/>
        </w:rPr>
        <w:t>«</w:t>
      </w:r>
      <w:r w:rsidR="00D30669" w:rsidRPr="00D30669">
        <w:rPr>
          <w:rFonts w:ascii="Times New Roman" w:eastAsia="Times New Roman" w:hAnsi="Times New Roman"/>
          <w:b/>
          <w:bCs/>
          <w:color w:val="000000"/>
          <w:sz w:val="28"/>
          <w:szCs w:val="28"/>
          <w:bdr w:val="none" w:sz="0" w:space="0" w:color="auto" w:frame="1"/>
          <w:lang w:eastAsia="uk-UA"/>
        </w:rPr>
        <w:t>Про визнання так</w:t>
      </w:r>
      <w:r w:rsidR="00191F88">
        <w:rPr>
          <w:rFonts w:ascii="Times New Roman" w:eastAsia="Times New Roman" w:hAnsi="Times New Roman"/>
          <w:b/>
          <w:bCs/>
          <w:color w:val="000000"/>
          <w:sz w:val="28"/>
          <w:szCs w:val="28"/>
          <w:bdr w:val="none" w:sz="0" w:space="0" w:color="auto" w:frame="1"/>
          <w:lang w:val="ru-RU" w:eastAsia="uk-UA"/>
        </w:rPr>
        <w:t>ими</w:t>
      </w:r>
      <w:r w:rsidR="00191F88">
        <w:rPr>
          <w:rFonts w:ascii="Times New Roman" w:eastAsia="Times New Roman" w:hAnsi="Times New Roman"/>
          <w:b/>
          <w:bCs/>
          <w:color w:val="000000"/>
          <w:sz w:val="28"/>
          <w:szCs w:val="28"/>
          <w:bdr w:val="none" w:sz="0" w:space="0" w:color="auto" w:frame="1"/>
          <w:lang w:eastAsia="uk-UA"/>
        </w:rPr>
        <w:t xml:space="preserve">, що втратили </w:t>
      </w:r>
      <w:r w:rsidR="00D30669" w:rsidRPr="00D30669">
        <w:rPr>
          <w:rFonts w:ascii="Times New Roman" w:eastAsia="Times New Roman" w:hAnsi="Times New Roman"/>
          <w:b/>
          <w:bCs/>
          <w:color w:val="000000"/>
          <w:sz w:val="28"/>
          <w:szCs w:val="28"/>
          <w:bdr w:val="none" w:sz="0" w:space="0" w:color="auto" w:frame="1"/>
          <w:lang w:eastAsia="uk-UA"/>
        </w:rPr>
        <w:t xml:space="preserve">чинність </w:t>
      </w:r>
      <w:r w:rsidR="00191F88">
        <w:rPr>
          <w:rFonts w:ascii="Times New Roman" w:eastAsia="Times New Roman" w:hAnsi="Times New Roman"/>
          <w:b/>
          <w:bCs/>
          <w:color w:val="000000"/>
          <w:sz w:val="28"/>
          <w:szCs w:val="28"/>
          <w:bdr w:val="none" w:sz="0" w:space="0" w:color="auto" w:frame="1"/>
          <w:lang w:val="ru-RU" w:eastAsia="uk-UA"/>
        </w:rPr>
        <w:t xml:space="preserve">деяких </w:t>
      </w:r>
      <w:r w:rsidR="00D30669" w:rsidRPr="00D30669">
        <w:rPr>
          <w:rFonts w:ascii="Times New Roman" w:eastAsia="Times New Roman" w:hAnsi="Times New Roman"/>
          <w:b/>
          <w:bCs/>
          <w:color w:val="000000"/>
          <w:sz w:val="28"/>
          <w:szCs w:val="28"/>
          <w:bdr w:val="none" w:sz="0" w:space="0" w:color="auto" w:frame="1"/>
          <w:lang w:eastAsia="uk-UA"/>
        </w:rPr>
        <w:t>постанов</w:t>
      </w:r>
      <w:r w:rsidR="00191F88">
        <w:rPr>
          <w:rFonts w:ascii="Times New Roman" w:eastAsia="Times New Roman" w:hAnsi="Times New Roman"/>
          <w:b/>
          <w:bCs/>
          <w:color w:val="000000"/>
          <w:sz w:val="28"/>
          <w:szCs w:val="28"/>
          <w:bdr w:val="none" w:sz="0" w:space="0" w:color="auto" w:frame="1"/>
          <w:lang w:eastAsia="uk-UA"/>
        </w:rPr>
        <w:t xml:space="preserve"> Кабінету Міністрів України</w:t>
      </w:r>
      <w:r>
        <w:rPr>
          <w:rFonts w:ascii="Times New Roman" w:hAnsi="Times New Roman"/>
          <w:b/>
          <w:sz w:val="28"/>
          <w:szCs w:val="28"/>
        </w:rPr>
        <w:t>»</w:t>
      </w:r>
    </w:p>
    <w:bookmarkEnd w:id="0"/>
    <w:p w:rsidR="00C710C4" w:rsidRDefault="00C710C4" w:rsidP="00D30669">
      <w:pPr>
        <w:keepNext/>
        <w:spacing w:after="0" w:line="240" w:lineRule="auto"/>
        <w:jc w:val="center"/>
        <w:rPr>
          <w:rFonts w:ascii="Times New Roman" w:hAnsi="Times New Roman"/>
          <w:b/>
          <w:bCs/>
          <w:sz w:val="28"/>
          <w:szCs w:val="28"/>
        </w:rPr>
      </w:pPr>
    </w:p>
    <w:p w:rsidR="00C710C4" w:rsidRDefault="00C710C4" w:rsidP="00C710C4">
      <w:pPr>
        <w:spacing w:line="240" w:lineRule="auto"/>
        <w:contextualSpacing/>
        <w:jc w:val="center"/>
        <w:rPr>
          <w:rFonts w:ascii="Times New Roman" w:eastAsia="Times New Roman" w:hAnsi="Times New Roman"/>
          <w:b/>
          <w:sz w:val="28"/>
          <w:szCs w:val="28"/>
          <w:lang w:eastAsia="ru-RU"/>
        </w:rPr>
      </w:pPr>
      <w:r w:rsidRPr="00E03BD7">
        <w:rPr>
          <w:rFonts w:ascii="Times New Roman" w:eastAsia="Times New Roman" w:hAnsi="Times New Roman"/>
          <w:b/>
          <w:sz w:val="28"/>
          <w:szCs w:val="28"/>
          <w:lang w:eastAsia="ru-RU"/>
        </w:rPr>
        <w:t>1. Обґрунтування необхідності прийняття акта</w:t>
      </w:r>
    </w:p>
    <w:p w:rsidR="00410FC7" w:rsidRDefault="00410FC7" w:rsidP="00C710C4">
      <w:pPr>
        <w:widowControl w:val="0"/>
        <w:spacing w:after="60" w:line="240" w:lineRule="auto"/>
        <w:jc w:val="center"/>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Обґрунтування необхідності прийняття акта</w:t>
      </w:r>
    </w:p>
    <w:p w:rsidR="00410FC7" w:rsidRDefault="00410FC7" w:rsidP="00410FC7">
      <w:pPr>
        <w:widowControl w:val="0"/>
        <w:spacing w:after="60" w:line="240" w:lineRule="auto"/>
        <w:ind w:firstLine="709"/>
        <w:jc w:val="both"/>
        <w:rPr>
          <w:rFonts w:ascii="Times New Roman" w:hAnsi="Times New Roman"/>
          <w:sz w:val="28"/>
          <w:szCs w:val="28"/>
        </w:rPr>
      </w:pPr>
      <w:r>
        <w:rPr>
          <w:rFonts w:ascii="Times New Roman" w:hAnsi="Times New Roman"/>
          <w:sz w:val="28"/>
          <w:szCs w:val="28"/>
        </w:rPr>
        <w:t xml:space="preserve">Проект </w:t>
      </w:r>
      <w:r w:rsidR="00FE32AE">
        <w:rPr>
          <w:rFonts w:ascii="Times New Roman" w:hAnsi="Times New Roman"/>
          <w:sz w:val="28"/>
          <w:szCs w:val="28"/>
        </w:rPr>
        <w:t>постанови</w:t>
      </w:r>
      <w:r>
        <w:rPr>
          <w:rFonts w:ascii="Times New Roman" w:hAnsi="Times New Roman"/>
          <w:sz w:val="28"/>
          <w:szCs w:val="28"/>
        </w:rPr>
        <w:t xml:space="preserve"> Кабінету Міністрів України </w:t>
      </w:r>
      <w:r w:rsidR="00CA67D9" w:rsidRPr="00CA67D9">
        <w:rPr>
          <w:rFonts w:ascii="Times New Roman" w:hAnsi="Times New Roman"/>
          <w:sz w:val="28"/>
          <w:szCs w:val="28"/>
        </w:rPr>
        <w:t>«Про визнання так</w:t>
      </w:r>
      <w:r w:rsidR="00191F88">
        <w:rPr>
          <w:rFonts w:ascii="Times New Roman" w:hAnsi="Times New Roman"/>
          <w:sz w:val="28"/>
          <w:szCs w:val="28"/>
        </w:rPr>
        <w:t>ими, що втратили</w:t>
      </w:r>
      <w:r w:rsidR="00CA67D9" w:rsidRPr="00CA67D9">
        <w:rPr>
          <w:rFonts w:ascii="Times New Roman" w:hAnsi="Times New Roman"/>
          <w:sz w:val="28"/>
          <w:szCs w:val="28"/>
        </w:rPr>
        <w:t xml:space="preserve"> чинність</w:t>
      </w:r>
      <w:r w:rsidR="00191F88">
        <w:rPr>
          <w:rFonts w:ascii="Times New Roman" w:hAnsi="Times New Roman"/>
          <w:sz w:val="28"/>
          <w:szCs w:val="28"/>
        </w:rPr>
        <w:t xml:space="preserve"> деяких постанов</w:t>
      </w:r>
      <w:r w:rsidR="00CA67D9" w:rsidRPr="00CA67D9">
        <w:rPr>
          <w:rFonts w:ascii="Times New Roman" w:hAnsi="Times New Roman"/>
          <w:sz w:val="28"/>
          <w:szCs w:val="28"/>
        </w:rPr>
        <w:t xml:space="preserve"> Кабінету Міністрів</w:t>
      </w:r>
      <w:r w:rsidR="00CA67D9">
        <w:rPr>
          <w:rFonts w:ascii="Times New Roman" w:hAnsi="Times New Roman"/>
          <w:sz w:val="28"/>
          <w:szCs w:val="28"/>
        </w:rPr>
        <w:t xml:space="preserve"> України</w:t>
      </w:r>
      <w:r w:rsidR="00CA67D9" w:rsidRPr="00CA67D9">
        <w:rPr>
          <w:rFonts w:ascii="Times New Roman" w:hAnsi="Times New Roman"/>
          <w:sz w:val="28"/>
          <w:szCs w:val="28"/>
        </w:rPr>
        <w:t>»</w:t>
      </w:r>
      <w:r w:rsidR="002A34E3">
        <w:rPr>
          <w:rFonts w:ascii="Times New Roman" w:hAnsi="Times New Roman"/>
          <w:sz w:val="28"/>
          <w:szCs w:val="28"/>
        </w:rPr>
        <w:t xml:space="preserve"> (Постанови Кабінету Міністрів України від 26 травня 2004 р. № 687 «Про</w:t>
      </w:r>
      <w:r w:rsidR="002A34E3">
        <w:rPr>
          <w:rFonts w:ascii="Times New Roman" w:eastAsia="Times New Roman" w:hAnsi="Times New Roman"/>
          <w:sz w:val="28"/>
          <w:szCs w:val="28"/>
        </w:rPr>
        <w:t xml:space="preserve">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w:t>
      </w:r>
      <w:r w:rsidR="00BD445E">
        <w:rPr>
          <w:rFonts w:ascii="Times New Roman" w:eastAsia="Times New Roman" w:hAnsi="Times New Roman"/>
          <w:sz w:val="28"/>
          <w:szCs w:val="28"/>
        </w:rPr>
        <w:t xml:space="preserve"> (надалі – Порядок)</w:t>
      </w:r>
      <w:r w:rsidR="002A34E3">
        <w:rPr>
          <w:rFonts w:ascii="Times New Roman" w:hAnsi="Times New Roman"/>
          <w:sz w:val="28"/>
          <w:szCs w:val="28"/>
        </w:rPr>
        <w:t>)</w:t>
      </w:r>
      <w:r w:rsidR="00BD445E">
        <w:rPr>
          <w:rFonts w:ascii="Times New Roman" w:hAnsi="Times New Roman"/>
          <w:sz w:val="28"/>
          <w:szCs w:val="28"/>
        </w:rPr>
        <w:t>,</w:t>
      </w:r>
      <w:r w:rsidR="00CA67D9" w:rsidRPr="00CA67D9">
        <w:rPr>
          <w:rFonts w:ascii="Times New Roman" w:hAnsi="Times New Roman"/>
          <w:sz w:val="28"/>
          <w:szCs w:val="28"/>
        </w:rPr>
        <w:t xml:space="preserve"> </w:t>
      </w:r>
      <w:r>
        <w:rPr>
          <w:rFonts w:ascii="Times New Roman" w:hAnsi="Times New Roman"/>
          <w:sz w:val="28"/>
          <w:szCs w:val="28"/>
        </w:rPr>
        <w:t xml:space="preserve">(далі – проект </w:t>
      </w:r>
      <w:r w:rsidR="00FE32AE">
        <w:rPr>
          <w:rFonts w:ascii="Times New Roman" w:hAnsi="Times New Roman"/>
          <w:sz w:val="28"/>
          <w:szCs w:val="28"/>
        </w:rPr>
        <w:t>постанови</w:t>
      </w:r>
      <w:r>
        <w:rPr>
          <w:rFonts w:ascii="Times New Roman" w:hAnsi="Times New Roman"/>
          <w:sz w:val="28"/>
          <w:szCs w:val="28"/>
        </w:rPr>
        <w:t xml:space="preserve">) розроблено з метою </w:t>
      </w:r>
      <w:r w:rsidR="009A7701">
        <w:rPr>
          <w:rFonts w:ascii="Times New Roman" w:hAnsi="Times New Roman"/>
          <w:sz w:val="28"/>
          <w:szCs w:val="28"/>
        </w:rPr>
        <w:t>належної реалізації вимог статті 21 Закону України «Про охорону праці», ста</w:t>
      </w:r>
      <w:bookmarkStart w:id="1" w:name="_GoBack"/>
      <w:bookmarkEnd w:id="1"/>
      <w:r w:rsidR="009A7701">
        <w:rPr>
          <w:rFonts w:ascii="Times New Roman" w:hAnsi="Times New Roman"/>
          <w:sz w:val="28"/>
          <w:szCs w:val="28"/>
        </w:rPr>
        <w:t>тей</w:t>
      </w:r>
      <w:r>
        <w:rPr>
          <w:rFonts w:ascii="Times New Roman" w:hAnsi="Times New Roman"/>
          <w:sz w:val="28"/>
          <w:szCs w:val="28"/>
        </w:rPr>
        <w:t xml:space="preserve"> 3 та 8 Закону України «Про основні засади державного нагляду (контролю) у сфері господарської діяльності»</w:t>
      </w:r>
      <w:r w:rsidR="009A7701">
        <w:rPr>
          <w:rFonts w:ascii="Times New Roman" w:hAnsi="Times New Roman"/>
          <w:sz w:val="28"/>
          <w:szCs w:val="28"/>
        </w:rPr>
        <w:t xml:space="preserve"> та Закону України «Про акредитацію органів з оцінки відповідності»</w:t>
      </w:r>
      <w:r>
        <w:rPr>
          <w:rFonts w:ascii="Times New Roman" w:hAnsi="Times New Roman"/>
          <w:sz w:val="28"/>
          <w:szCs w:val="28"/>
        </w:rPr>
        <w:t>, якими встановлено:</w:t>
      </w:r>
    </w:p>
    <w:p w:rsidR="00410FC7" w:rsidRDefault="00410FC7" w:rsidP="00410FC7">
      <w:pPr>
        <w:pStyle w:val="a3"/>
        <w:widowControl w:val="0"/>
        <w:numPr>
          <w:ilvl w:val="0"/>
          <w:numId w:val="1"/>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принцип здійснення державного нагляду (контролю), який полягає у його здійсненні виключно в порядку, визначеному законом;</w:t>
      </w:r>
    </w:p>
    <w:p w:rsidR="00410FC7" w:rsidRPr="004934B0" w:rsidRDefault="00410FC7" w:rsidP="00410FC7">
      <w:pPr>
        <w:pStyle w:val="a3"/>
        <w:widowControl w:val="0"/>
        <w:numPr>
          <w:ilvl w:val="0"/>
          <w:numId w:val="1"/>
        </w:numPr>
        <w:tabs>
          <w:tab w:val="left" w:pos="1134"/>
        </w:tabs>
        <w:spacing w:after="60" w:line="240" w:lineRule="auto"/>
        <w:ind w:left="0" w:firstLine="709"/>
        <w:jc w:val="both"/>
        <w:rPr>
          <w:rFonts w:ascii="Times New Roman" w:hAnsi="Times New Roman"/>
          <w:sz w:val="28"/>
          <w:szCs w:val="28"/>
        </w:rPr>
      </w:pPr>
      <w:r>
        <w:rPr>
          <w:rFonts w:ascii="Times New Roman" w:hAnsi="Times New Roman"/>
          <w:sz w:val="28"/>
          <w:szCs w:val="28"/>
        </w:rPr>
        <w:t>обов’язок органів державного нагляду (контролю) та їх посадових осіб дотримуватися принципів та порядку здійснення державного нагляду (</w:t>
      </w:r>
      <w:r w:rsidR="00FA6780">
        <w:rPr>
          <w:rFonts w:ascii="Times New Roman" w:hAnsi="Times New Roman"/>
          <w:sz w:val="28"/>
          <w:szCs w:val="28"/>
        </w:rPr>
        <w:t>контролю), встановлених законом</w:t>
      </w:r>
      <w:r w:rsidR="00FA6780">
        <w:rPr>
          <w:rFonts w:ascii="Times New Roman" w:hAnsi="Times New Roman"/>
          <w:sz w:val="28"/>
          <w:szCs w:val="28"/>
          <w:lang w:val="ru-RU"/>
        </w:rPr>
        <w:t xml:space="preserve">; </w:t>
      </w:r>
    </w:p>
    <w:p w:rsidR="00191F88" w:rsidRPr="00191F88" w:rsidRDefault="00FA6780" w:rsidP="00820607">
      <w:pPr>
        <w:pStyle w:val="a3"/>
        <w:keepNext/>
        <w:widowControl w:val="0"/>
        <w:numPr>
          <w:ilvl w:val="0"/>
          <w:numId w:val="1"/>
        </w:numPr>
        <w:tabs>
          <w:tab w:val="left" w:pos="1134"/>
        </w:tabs>
        <w:spacing w:after="60" w:line="240" w:lineRule="auto"/>
        <w:ind w:left="0" w:firstLine="709"/>
        <w:jc w:val="both"/>
        <w:rPr>
          <w:rFonts w:ascii="Times New Roman" w:hAnsi="Times New Roman"/>
          <w:sz w:val="28"/>
          <w:szCs w:val="28"/>
        </w:rPr>
      </w:pPr>
      <w:r w:rsidRPr="00191F88">
        <w:rPr>
          <w:rFonts w:ascii="Times New Roman" w:eastAsia="Times New Roman" w:hAnsi="Times New Roman"/>
          <w:color w:val="000000"/>
          <w:sz w:val="28"/>
          <w:szCs w:val="28"/>
          <w:lang w:val="ru-RU" w:eastAsia="ru-RU"/>
        </w:rPr>
        <w:t>п</w:t>
      </w:r>
      <w:r w:rsidRPr="00191F88">
        <w:rPr>
          <w:rFonts w:ascii="Times New Roman" w:eastAsia="Times New Roman" w:hAnsi="Times New Roman"/>
          <w:color w:val="000000"/>
          <w:sz w:val="28"/>
          <w:szCs w:val="28"/>
          <w:lang w:eastAsia="ru-RU"/>
        </w:rPr>
        <w:t xml:space="preserve">орядок проведення оглядів не враховує у повному обсязі чинні вимоги до інспекційної діяльності експертних організацій. </w:t>
      </w:r>
    </w:p>
    <w:p w:rsidR="00191F88" w:rsidRDefault="00191F88" w:rsidP="00191F88">
      <w:pPr>
        <w:keepNext/>
        <w:widowControl w:val="0"/>
        <w:tabs>
          <w:tab w:val="left" w:pos="1134"/>
        </w:tabs>
        <w:spacing w:after="60" w:line="240" w:lineRule="auto"/>
        <w:jc w:val="both"/>
        <w:rPr>
          <w:rFonts w:ascii="Times New Roman" w:hAnsi="Times New Roman"/>
          <w:sz w:val="28"/>
          <w:szCs w:val="28"/>
        </w:rPr>
      </w:pPr>
      <w:r>
        <w:rPr>
          <w:rFonts w:ascii="Times New Roman" w:hAnsi="Times New Roman"/>
          <w:sz w:val="28"/>
          <w:szCs w:val="28"/>
        </w:rPr>
        <w:t xml:space="preserve">         На сьогодні ряд регуляторних актів не відповідають Конституції та законам України, створюють перепони на ринку послуг з технічного огляду устаткування, шляхом обмеження прав на виконання певних функцій з технічного огляду устаткування і потребують скасування.</w:t>
      </w:r>
    </w:p>
    <w:p w:rsidR="009A32B5" w:rsidRDefault="00191F88" w:rsidP="009A32B5">
      <w:pPr>
        <w:keepNext/>
        <w:widowControl w:val="0"/>
        <w:tabs>
          <w:tab w:val="left" w:pos="1134"/>
        </w:tabs>
        <w:spacing w:after="6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4934B0" w:rsidRPr="004934B0">
        <w:rPr>
          <w:rFonts w:ascii="Times New Roman" w:eastAsia="Times New Roman" w:hAnsi="Times New Roman"/>
          <w:color w:val="000000"/>
          <w:sz w:val="28"/>
          <w:szCs w:val="28"/>
          <w:lang w:eastAsia="ru-RU"/>
        </w:rPr>
        <w:t>Законом України «Про охорону праці» не передбачено Порядку проведення огляду, випробування та експертного обстеження (технічного діагностування) машин, механізмів, устатковання підвищеної небезпеки, що визначається Кабінетом Міністрів України</w:t>
      </w:r>
      <w:r w:rsidR="009A32B5">
        <w:rPr>
          <w:rFonts w:ascii="Times New Roman" w:eastAsia="Times New Roman" w:hAnsi="Times New Roman"/>
          <w:color w:val="000000"/>
          <w:sz w:val="28"/>
          <w:szCs w:val="28"/>
          <w:lang w:eastAsia="ru-RU"/>
        </w:rPr>
        <w:t>.</w:t>
      </w:r>
      <w:r w:rsidR="004934B0" w:rsidRPr="004934B0">
        <w:rPr>
          <w:rFonts w:ascii="Times New Roman" w:eastAsia="Times New Roman" w:hAnsi="Times New Roman"/>
          <w:color w:val="000000"/>
          <w:sz w:val="28"/>
          <w:szCs w:val="28"/>
          <w:lang w:eastAsia="ru-RU"/>
        </w:rPr>
        <w:t xml:space="preserve"> </w:t>
      </w:r>
    </w:p>
    <w:p w:rsidR="009A32B5" w:rsidRDefault="00A37826" w:rsidP="005D1B9D">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Частиною статті 21 Закону України «Про охорону праці» із змінами, внесеними згідно із Законом № 3038-</w:t>
      </w:r>
      <w:r>
        <w:rPr>
          <w:rFonts w:ascii="Times New Roman" w:eastAsia="Times New Roman" w:hAnsi="Times New Roman"/>
          <w:color w:val="000000"/>
          <w:sz w:val="28"/>
          <w:szCs w:val="28"/>
          <w:lang w:val="en-US" w:eastAsia="ru-RU"/>
        </w:rPr>
        <w:t>VI</w:t>
      </w:r>
      <w:r w:rsidRPr="00A37826">
        <w:rPr>
          <w:rFonts w:ascii="Times New Roman" w:eastAsia="Times New Roman" w:hAnsi="Times New Roman"/>
          <w:color w:val="000000"/>
          <w:sz w:val="28"/>
          <w:szCs w:val="28"/>
          <w:lang w:eastAsia="ru-RU"/>
        </w:rPr>
        <w:t xml:space="preserve"> від 17.02.2011 визначено, що – експертиза проектної та іншої документації</w:t>
      </w:r>
      <w:r>
        <w:rPr>
          <w:rFonts w:ascii="Times New Roman" w:eastAsia="Times New Roman" w:hAnsi="Times New Roman"/>
          <w:color w:val="000000"/>
          <w:sz w:val="28"/>
          <w:szCs w:val="28"/>
          <w:lang w:eastAsia="ru-RU"/>
        </w:rPr>
        <w:t xml:space="preserve"> на виготовлення і впровадження нових технологій і засобів виробництва, засобів колективного та індивідуального захисту, реєстрація, огляди</w:t>
      </w:r>
      <w:r w:rsidR="00EC11CB">
        <w:rPr>
          <w:rFonts w:ascii="Times New Roman" w:eastAsia="Times New Roman" w:hAnsi="Times New Roman"/>
          <w:color w:val="000000"/>
          <w:sz w:val="28"/>
          <w:szCs w:val="28"/>
          <w:lang w:eastAsia="ru-RU"/>
        </w:rPr>
        <w:t>, випробування тощо виробничих об</w:t>
      </w:r>
      <w:r w:rsidR="00EC11CB" w:rsidRPr="00EC11CB">
        <w:rPr>
          <w:rFonts w:ascii="Times New Roman" w:eastAsia="Times New Roman" w:hAnsi="Times New Roman"/>
          <w:color w:val="000000"/>
          <w:sz w:val="28"/>
          <w:szCs w:val="28"/>
          <w:lang w:eastAsia="ru-RU"/>
        </w:rPr>
        <w:t>’</w:t>
      </w:r>
      <w:r w:rsidR="00EC11CB">
        <w:rPr>
          <w:rFonts w:ascii="Times New Roman" w:eastAsia="Times New Roman" w:hAnsi="Times New Roman"/>
          <w:color w:val="000000"/>
          <w:sz w:val="28"/>
          <w:szCs w:val="28"/>
          <w:lang w:eastAsia="ru-RU"/>
        </w:rPr>
        <w:t>є</w:t>
      </w:r>
      <w:r w:rsidR="00EC11CB" w:rsidRPr="00EC11CB">
        <w:rPr>
          <w:rFonts w:ascii="Times New Roman" w:eastAsia="Times New Roman" w:hAnsi="Times New Roman"/>
          <w:color w:val="000000"/>
          <w:sz w:val="28"/>
          <w:szCs w:val="28"/>
          <w:lang w:eastAsia="ru-RU"/>
        </w:rPr>
        <w:t>кт</w:t>
      </w:r>
      <w:r w:rsidR="00EC11CB">
        <w:rPr>
          <w:rFonts w:ascii="Times New Roman" w:eastAsia="Times New Roman" w:hAnsi="Times New Roman"/>
          <w:color w:val="000000"/>
          <w:sz w:val="28"/>
          <w:szCs w:val="28"/>
          <w:lang w:eastAsia="ru-RU"/>
        </w:rPr>
        <w:t xml:space="preserve">ів, інженерних </w:t>
      </w:r>
      <w:r w:rsidR="00DC6EAB">
        <w:rPr>
          <w:rFonts w:ascii="Times New Roman" w:eastAsia="Times New Roman" w:hAnsi="Times New Roman"/>
          <w:color w:val="000000"/>
          <w:sz w:val="28"/>
          <w:szCs w:val="28"/>
          <w:lang w:eastAsia="ru-RU"/>
        </w:rPr>
        <w:t>інфраструктур об</w:t>
      </w:r>
      <w:r w:rsidR="00DC6EAB" w:rsidRPr="00DC6EAB">
        <w:rPr>
          <w:rFonts w:ascii="Times New Roman" w:eastAsia="Times New Roman" w:hAnsi="Times New Roman"/>
          <w:color w:val="000000"/>
          <w:sz w:val="28"/>
          <w:szCs w:val="28"/>
          <w:lang w:eastAsia="ru-RU"/>
        </w:rPr>
        <w:t>’</w:t>
      </w:r>
      <w:r w:rsidR="00DC6EAB">
        <w:rPr>
          <w:rFonts w:ascii="Times New Roman" w:eastAsia="Times New Roman" w:hAnsi="Times New Roman"/>
          <w:color w:val="000000"/>
          <w:sz w:val="28"/>
          <w:szCs w:val="28"/>
          <w:lang w:eastAsia="ru-RU"/>
        </w:rPr>
        <w:t>єктів соціально-культурного призначення провадяться у порядку, що визначається Кабінетом Міністрів України.</w:t>
      </w:r>
      <w:r w:rsidR="009A32B5">
        <w:rPr>
          <w:rFonts w:ascii="Times New Roman" w:eastAsia="Times New Roman" w:hAnsi="Times New Roman"/>
          <w:color w:val="000000"/>
          <w:sz w:val="28"/>
          <w:szCs w:val="28"/>
          <w:lang w:eastAsia="ru-RU"/>
        </w:rPr>
        <w:t xml:space="preserve"> </w:t>
      </w:r>
    </w:p>
    <w:p w:rsidR="00B22B35" w:rsidRPr="00FA6780" w:rsidRDefault="00B22B35" w:rsidP="00B22B35">
      <w:pPr>
        <w:keepNext/>
        <w:widowControl w:val="0"/>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C6EAB">
        <w:rPr>
          <w:rFonts w:ascii="Times New Roman" w:eastAsia="Times New Roman" w:hAnsi="Times New Roman"/>
          <w:color w:val="000000"/>
          <w:sz w:val="28"/>
          <w:szCs w:val="28"/>
          <w:lang w:eastAsia="ru-RU"/>
        </w:rPr>
        <w:t>Порядок проведення оглядів</w:t>
      </w:r>
      <w:r w:rsidR="009A32B5">
        <w:rPr>
          <w:rFonts w:ascii="Times New Roman" w:eastAsia="Times New Roman" w:hAnsi="Times New Roman"/>
          <w:color w:val="000000"/>
          <w:sz w:val="28"/>
          <w:szCs w:val="28"/>
          <w:lang w:eastAsia="ru-RU"/>
        </w:rPr>
        <w:t xml:space="preserve"> не враховує у повному обсязі чинні вимоги до інспекційної діяльності експертних організацій.</w:t>
      </w:r>
      <w:r>
        <w:rPr>
          <w:rFonts w:ascii="Times New Roman" w:eastAsia="Times New Roman" w:hAnsi="Times New Roman"/>
          <w:color w:val="000000"/>
          <w:sz w:val="28"/>
          <w:szCs w:val="28"/>
          <w:lang w:eastAsia="ru-RU"/>
        </w:rPr>
        <w:t xml:space="preserve"> Н</w:t>
      </w:r>
      <w:r w:rsidRPr="00FA6780">
        <w:rPr>
          <w:rFonts w:ascii="Times New Roman" w:eastAsia="Times New Roman" w:hAnsi="Times New Roman"/>
          <w:bCs/>
          <w:color w:val="000000"/>
          <w:sz w:val="28"/>
          <w:szCs w:val="28"/>
          <w:lang w:eastAsia="ru-RU"/>
        </w:rPr>
        <w:t xml:space="preserve">а сьогодні </w:t>
      </w:r>
      <w:r w:rsidRPr="00FA6780">
        <w:rPr>
          <w:rFonts w:ascii="Times New Roman" w:eastAsia="Times New Roman" w:hAnsi="Times New Roman"/>
          <w:color w:val="000000"/>
          <w:sz w:val="28"/>
          <w:szCs w:val="28"/>
          <w:lang w:eastAsia="ru-RU"/>
        </w:rPr>
        <w:t xml:space="preserve">інспекційна діяльність регулюється Законом України «Про акредитацію органів з оцінки відповідності» та вимогами Державного стандарту ДСТУ ISO/IEC 17020:2014 </w:t>
      </w:r>
      <w:r w:rsidRPr="00FA6780">
        <w:rPr>
          <w:rFonts w:ascii="Times New Roman" w:eastAsia="Times New Roman" w:hAnsi="Times New Roman"/>
          <w:color w:val="000000"/>
          <w:sz w:val="28"/>
          <w:szCs w:val="28"/>
          <w:lang w:eastAsia="ru-RU"/>
        </w:rPr>
        <w:lastRenderedPageBreak/>
        <w:t xml:space="preserve">«Оцінка відповідності. Вимоги до роботи різних типів органів з інспектування». </w:t>
      </w:r>
    </w:p>
    <w:p w:rsidR="00A37826" w:rsidRPr="00A37826" w:rsidRDefault="00B22B35" w:rsidP="005D1B9D">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Інспектування, тобто огляди, випробування та експертні обстеження (технічне діагностування) устаткування підвищеної небезпеки, здійснюється експертно-технічними центрами та незалежними експертними організаціями, які мають дозвіл Держпраці і таких в Україні біля 970 (до прийняття Порядку проведення оглядів з 1992 до 2004 року їх кількість становила біля 1600). Їх компетентність щодо здійснення інспекційної діяльності нічим не підтверджується, що викликає недовіру в суспільстві.</w:t>
      </w:r>
    </w:p>
    <w:p w:rsidR="004A4A86" w:rsidRDefault="004A4A8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sidRPr="008F251C">
        <w:rPr>
          <w:rFonts w:ascii="Times New Roman" w:eastAsia="Times New Roman" w:hAnsi="Times New Roman"/>
          <w:color w:val="000000"/>
          <w:sz w:val="28"/>
          <w:szCs w:val="28"/>
          <w:lang w:eastAsia="ru-RU"/>
        </w:rPr>
        <w:t>Європейські норми дуже чітко встановлюють діяльність експертних організацій, як важливої складової у функціонуванні дозвільної системи в державі, які проходять л</w:t>
      </w:r>
      <w:r>
        <w:rPr>
          <w:rFonts w:ascii="Times New Roman" w:eastAsia="Times New Roman" w:hAnsi="Times New Roman"/>
          <w:color w:val="000000"/>
          <w:sz w:val="28"/>
          <w:szCs w:val="28"/>
          <w:lang w:eastAsia="ru-RU"/>
        </w:rPr>
        <w:t>ише акредитацію та нотифікацію.</w:t>
      </w:r>
    </w:p>
    <w:p w:rsidR="00504346" w:rsidRDefault="004A4A8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сьогоднішній день, акредитацією органів з оцінки відповідності вже займається Національне агентство з акредитації України, яке підпорядковується Міністерству економічного розвитку та торгівлі України. Що стосується нотифікації, то цю процедуру, відповідно до досвіду європейських країн </w:t>
      </w:r>
      <w:r w:rsidR="00BD445E" w:rsidRPr="00BD445E">
        <w:rPr>
          <w:rFonts w:ascii="Times New Roman" w:eastAsia="Times New Roman" w:hAnsi="Times New Roman"/>
          <w:color w:val="000000"/>
          <w:sz w:val="28"/>
          <w:szCs w:val="28"/>
          <w:lang w:eastAsia="ru-RU"/>
        </w:rPr>
        <w:t>необх</w:t>
      </w:r>
      <w:r w:rsidR="00BD445E">
        <w:rPr>
          <w:rFonts w:ascii="Times New Roman" w:eastAsia="Times New Roman" w:hAnsi="Times New Roman"/>
          <w:color w:val="000000"/>
          <w:sz w:val="28"/>
          <w:szCs w:val="28"/>
          <w:lang w:eastAsia="ru-RU"/>
        </w:rPr>
        <w:t xml:space="preserve">ідно було б </w:t>
      </w:r>
      <w:r>
        <w:rPr>
          <w:rFonts w:ascii="Times New Roman" w:eastAsia="Times New Roman" w:hAnsi="Times New Roman"/>
          <w:color w:val="000000"/>
          <w:sz w:val="28"/>
          <w:szCs w:val="28"/>
          <w:lang w:eastAsia="ru-RU"/>
        </w:rPr>
        <w:t>віднести до компетенції  Міністерства економічного розвитку та торгівлі України.</w:t>
      </w:r>
    </w:p>
    <w:p w:rsidR="00504346" w:rsidRPr="00504346" w:rsidRDefault="0050434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абзаці 14 пункту 2 Порядку проведення огляду визначено уповноважену організацію – як визначений Держпраці суб</w:t>
      </w:r>
      <w:r w:rsidRPr="00504346">
        <w:rPr>
          <w:rFonts w:ascii="Times New Roman" w:eastAsia="Times New Roman" w:hAnsi="Times New Roman"/>
          <w:color w:val="000000"/>
          <w:sz w:val="28"/>
          <w:szCs w:val="28"/>
          <w:lang w:eastAsia="ru-RU"/>
        </w:rPr>
        <w:t>’єкт господарювання, діяльність якого не пов’язана з проектуванням, виготовленням, постачанням, придбанням, володінням, користуванням, монтажем, налагоджуванням, технічним обслуговуванням, ремонтом, модернізацією, реконструкцією чи заміною уста</w:t>
      </w:r>
      <w:r>
        <w:rPr>
          <w:rFonts w:ascii="Times New Roman" w:eastAsia="Times New Roman" w:hAnsi="Times New Roman"/>
          <w:color w:val="000000"/>
          <w:sz w:val="28"/>
          <w:szCs w:val="28"/>
          <w:lang w:eastAsia="ru-RU"/>
        </w:rPr>
        <w:t>тковання, який має дозвіл Держпраці на проведення огляду, випробування та експертного обстеження (технічного діагностування) устатковання, а також здійснює науково-технічну підтримку державного нагляду за господарською діяльністю у сфері виробництва і праці, зокрема щодо проведення під час інспектування необхідних контрольних випробувань та огляду устатковання і матеріалів, досліджень шкідливих факторів виробничого середовища тощо.</w:t>
      </w:r>
    </w:p>
    <w:p w:rsidR="00F057B6" w:rsidRDefault="00E14B5B"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Оскільки, </w:t>
      </w:r>
      <w:r w:rsidR="00F057B6">
        <w:rPr>
          <w:rFonts w:ascii="Times New Roman" w:eastAsia="Times New Roman" w:hAnsi="Times New Roman"/>
          <w:color w:val="000000"/>
          <w:sz w:val="28"/>
          <w:szCs w:val="28"/>
          <w:lang w:eastAsia="ru-RU"/>
        </w:rPr>
        <w:t>у Законі</w:t>
      </w:r>
      <w:r>
        <w:rPr>
          <w:rFonts w:ascii="Times New Roman" w:eastAsia="Times New Roman" w:hAnsi="Times New Roman"/>
          <w:color w:val="000000"/>
          <w:sz w:val="28"/>
          <w:szCs w:val="28"/>
          <w:lang w:eastAsia="ru-RU"/>
        </w:rPr>
        <w:t xml:space="preserve"> України «Про охорону праці» </w:t>
      </w:r>
      <w:r w:rsidR="00F057B6">
        <w:rPr>
          <w:rFonts w:ascii="Times New Roman" w:eastAsia="Times New Roman" w:hAnsi="Times New Roman"/>
          <w:color w:val="000000"/>
          <w:sz w:val="28"/>
          <w:szCs w:val="28"/>
          <w:lang w:eastAsia="ru-RU"/>
        </w:rPr>
        <w:t>відсутнє</w:t>
      </w:r>
      <w:r>
        <w:rPr>
          <w:rFonts w:ascii="Times New Roman" w:eastAsia="Times New Roman" w:hAnsi="Times New Roman"/>
          <w:color w:val="000000"/>
          <w:sz w:val="28"/>
          <w:szCs w:val="28"/>
          <w:lang w:eastAsia="ru-RU"/>
        </w:rPr>
        <w:t xml:space="preserve"> в</w:t>
      </w:r>
      <w:r w:rsidR="00F057B6">
        <w:rPr>
          <w:rFonts w:ascii="Times New Roman" w:eastAsia="Times New Roman" w:hAnsi="Times New Roman"/>
          <w:color w:val="000000"/>
          <w:sz w:val="28"/>
          <w:szCs w:val="28"/>
          <w:lang w:eastAsia="ru-RU"/>
        </w:rPr>
        <w:t>изначення</w:t>
      </w:r>
      <w:r>
        <w:rPr>
          <w:rFonts w:ascii="Times New Roman" w:eastAsia="Times New Roman" w:hAnsi="Times New Roman"/>
          <w:color w:val="000000"/>
          <w:sz w:val="28"/>
          <w:szCs w:val="28"/>
          <w:lang w:eastAsia="ru-RU"/>
        </w:rPr>
        <w:t xml:space="preserve"> уповноважених організацій з проведення оглядів, випробування та експертного обстеження (технічного діагностування) машин, механізмів, устатковання підвищеної небезпеки</w:t>
      </w:r>
      <w:r w:rsidR="00F057B6">
        <w:rPr>
          <w:rFonts w:ascii="Times New Roman" w:eastAsia="Times New Roman" w:hAnsi="Times New Roman"/>
          <w:color w:val="000000"/>
          <w:sz w:val="28"/>
          <w:szCs w:val="28"/>
          <w:lang w:eastAsia="ru-RU"/>
        </w:rPr>
        <w:t>, а також відсутні повноваження</w:t>
      </w:r>
      <w:r>
        <w:rPr>
          <w:rFonts w:ascii="Times New Roman" w:eastAsia="Times New Roman" w:hAnsi="Times New Roman"/>
          <w:color w:val="000000"/>
          <w:sz w:val="28"/>
          <w:szCs w:val="28"/>
          <w:lang w:eastAsia="ru-RU"/>
        </w:rPr>
        <w:t xml:space="preserve"> Держпраці на визначення уповноважених організацій, визначення Держпраці</w:t>
      </w:r>
      <w:r w:rsidR="00F057B6">
        <w:rPr>
          <w:rFonts w:ascii="Times New Roman" w:eastAsia="Times New Roman" w:hAnsi="Times New Roman"/>
          <w:color w:val="000000"/>
          <w:sz w:val="28"/>
          <w:szCs w:val="28"/>
          <w:lang w:eastAsia="ru-RU"/>
        </w:rPr>
        <w:t xml:space="preserve"> уповноважених організацій порушує норму статті 19 Конституції України, якою встановлено, що органи державної влади та органи місцевого самоврядування, їх посадові особи зобов</w:t>
      </w:r>
      <w:r w:rsidR="00F057B6" w:rsidRPr="00F057B6">
        <w:rPr>
          <w:rFonts w:ascii="Times New Roman" w:eastAsia="Times New Roman" w:hAnsi="Times New Roman"/>
          <w:color w:val="000000"/>
          <w:sz w:val="28"/>
          <w:szCs w:val="28"/>
          <w:lang w:eastAsia="ru-RU"/>
        </w:rPr>
        <w:t>’язан</w:t>
      </w:r>
      <w:r w:rsidR="00F057B6">
        <w:rPr>
          <w:rFonts w:ascii="Times New Roman" w:eastAsia="Times New Roman" w:hAnsi="Times New Roman"/>
          <w:color w:val="000000"/>
          <w:sz w:val="28"/>
          <w:szCs w:val="28"/>
          <w:lang w:eastAsia="ru-RU"/>
        </w:rPr>
        <w:t>і діяти лише на підставі, в межах повноважень та у спосіб, що передбачені Конституцією та законами України.</w:t>
      </w:r>
    </w:p>
    <w:p w:rsidR="00F057B6"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свою чергу, Порядком проведення огляду у пунктах 10 та 19 надається право уповноваженим організаціям, виконання певних функцій, зокрема проведення первинного технічного огляду машин, механізмів, ус</w:t>
      </w:r>
      <w:r w:rsidR="000D5179">
        <w:rPr>
          <w:rFonts w:ascii="Times New Roman" w:eastAsia="Times New Roman" w:hAnsi="Times New Roman"/>
          <w:color w:val="000000"/>
          <w:sz w:val="28"/>
          <w:szCs w:val="28"/>
          <w:lang w:eastAsia="ru-RU"/>
        </w:rPr>
        <w:t>татковання підвищеної небезпеки</w:t>
      </w:r>
      <w:r>
        <w:rPr>
          <w:rFonts w:ascii="Times New Roman" w:eastAsia="Times New Roman" w:hAnsi="Times New Roman"/>
          <w:color w:val="000000"/>
          <w:sz w:val="28"/>
          <w:szCs w:val="28"/>
          <w:lang w:eastAsia="ru-RU"/>
        </w:rPr>
        <w:t xml:space="preserve"> перед введенням їх в експлуатацію, проведення позачергового технічного огляду устатковання, у разі закінчення граничного строку експлуатації, виникнення аварії або пошкодження, спричиненого надзвичайною ситуацією природного чи техногенного характеру, та ведення обліку даних про технічний стан устатковання.</w:t>
      </w:r>
    </w:p>
    <w:p w:rsidR="00F057B6"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Законом України «Про адміністративні послуги» визначено, що адміністративна послуга – результат здійснення владних повноважень суб</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єктом </w:t>
      </w:r>
      <w:r>
        <w:rPr>
          <w:rFonts w:ascii="Times New Roman" w:eastAsia="Times New Roman" w:hAnsi="Times New Roman"/>
          <w:color w:val="000000"/>
          <w:sz w:val="28"/>
          <w:szCs w:val="28"/>
          <w:lang w:eastAsia="ru-RU"/>
        </w:rPr>
        <w:lastRenderedPageBreak/>
        <w:t>надання адміністративних послуг за заявою фізичної або юридичної особи, спрямований на набуття, зміну чи припинення прав та/або обов</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язків такої особи відповідно до закону.</w:t>
      </w:r>
    </w:p>
    <w:p w:rsidR="00A01DEF" w:rsidRDefault="00F057B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розумінні вищезазначеного Закону визначення суб</w:t>
      </w:r>
      <w:r w:rsidRPr="00F057B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єкта господарювання, що здійснює свою діяльність у сфері технічного огляду, випробування та експертного обстеження машин, механізмів, устатковання підвищеної небезпеки, уповноваженою організацією, якій </w:t>
      </w:r>
      <w:r w:rsidR="00A01DEF">
        <w:rPr>
          <w:rFonts w:ascii="Times New Roman" w:eastAsia="Times New Roman" w:hAnsi="Times New Roman"/>
          <w:color w:val="000000"/>
          <w:sz w:val="28"/>
          <w:szCs w:val="28"/>
          <w:lang w:eastAsia="ru-RU"/>
        </w:rPr>
        <w:t>доручається виконання функцій з проведення первинного технічного огляду машин, механізмів, устатковання підвищеної небезпеки перед введенням їх в експлуатацію, проведення позачергового технічного огляду устатковання, у разі закінченння граничного строку експлуатації, виникнення а</w:t>
      </w:r>
      <w:r w:rsidR="000D5179">
        <w:rPr>
          <w:rFonts w:ascii="Times New Roman" w:eastAsia="Times New Roman" w:hAnsi="Times New Roman"/>
          <w:color w:val="000000"/>
          <w:sz w:val="28"/>
          <w:szCs w:val="28"/>
          <w:lang w:eastAsia="ru-RU"/>
        </w:rPr>
        <w:t>варії або пошкодження, спричине</w:t>
      </w:r>
      <w:r w:rsidR="00A01DEF">
        <w:rPr>
          <w:rFonts w:ascii="Times New Roman" w:eastAsia="Times New Roman" w:hAnsi="Times New Roman"/>
          <w:color w:val="000000"/>
          <w:sz w:val="28"/>
          <w:szCs w:val="28"/>
          <w:lang w:eastAsia="ru-RU"/>
        </w:rPr>
        <w:t>ного надзвичайною ситуацією природного чи техногенного характеру, та ведення обліку даних про технічний стан устатковання має ознаки адміністративної послуги.</w:t>
      </w:r>
    </w:p>
    <w:p w:rsidR="00A01DEF" w:rsidRDefault="00A01DEF"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Разом з тим, відповідно до Закону України «Про адміністративні послуги» виключно законами, які регулюють суспільні відносини щодо надання адміністративних послуг, встановлюється, зокрема, перелік та вимоги до документів, необхідних для отримання адміністративної послуги підстави для одержання адміністративної послуги; платність або безоплатність адміністративної послуги; граничний строк надання адміністративної послуги; перелік підстав для відмови у наданні адміністративної послуги.</w:t>
      </w:r>
    </w:p>
    <w:p w:rsidR="00C20CFA" w:rsidRDefault="00A01DEF" w:rsidP="004A4A86">
      <w:pPr>
        <w:keepNext/>
        <w:widowControl w:val="0"/>
        <w:spacing w:after="0" w:line="240"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Тобто, необхідність визначення уповноважених організацій з проведення оглядів, випробування та експертного обстеження (технічного діагностування) машин, механізмів, устатковання підвищеної небезпеки повинна бути </w:t>
      </w:r>
      <w:r w:rsidRPr="00C20CFA">
        <w:rPr>
          <w:rFonts w:ascii="Times New Roman" w:eastAsia="Times New Roman" w:hAnsi="Times New Roman"/>
          <w:b/>
          <w:color w:val="000000"/>
          <w:sz w:val="28"/>
          <w:szCs w:val="28"/>
          <w:lang w:eastAsia="ru-RU"/>
        </w:rPr>
        <w:t>передбачена виключно Законом.</w:t>
      </w:r>
    </w:p>
    <w:p w:rsidR="00C20CFA" w:rsidRDefault="00C20CFA"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сьогод</w:t>
      </w:r>
      <w:r w:rsidR="000D5179">
        <w:rPr>
          <w:rFonts w:ascii="Times New Roman" w:eastAsia="Times New Roman" w:hAnsi="Times New Roman"/>
          <w:color w:val="000000"/>
          <w:sz w:val="28"/>
          <w:szCs w:val="28"/>
          <w:lang w:eastAsia="ru-RU"/>
        </w:rPr>
        <w:t>ні відсутній акт, який регулює</w:t>
      </w:r>
      <w:r>
        <w:rPr>
          <w:rFonts w:ascii="Times New Roman" w:eastAsia="Times New Roman" w:hAnsi="Times New Roman"/>
          <w:color w:val="000000"/>
          <w:sz w:val="28"/>
          <w:szCs w:val="28"/>
          <w:lang w:eastAsia="ru-RU"/>
        </w:rPr>
        <w:t xml:space="preserve"> визначення уповноважених організацій. А</w:t>
      </w:r>
      <w:r w:rsidRPr="008F251C">
        <w:rPr>
          <w:rFonts w:ascii="Times New Roman" w:eastAsia="Times New Roman" w:hAnsi="Times New Roman"/>
          <w:color w:val="000000"/>
          <w:sz w:val="28"/>
          <w:szCs w:val="28"/>
          <w:lang w:eastAsia="ru-RU"/>
        </w:rPr>
        <w:t>кт, який регулював визна</w:t>
      </w:r>
      <w:r>
        <w:rPr>
          <w:rFonts w:ascii="Times New Roman" w:eastAsia="Times New Roman" w:hAnsi="Times New Roman"/>
          <w:color w:val="000000"/>
          <w:sz w:val="28"/>
          <w:szCs w:val="28"/>
          <w:lang w:eastAsia="ru-RU"/>
        </w:rPr>
        <w:t>чення уповноважених організацій -</w:t>
      </w:r>
      <w:r w:rsidRPr="008F251C">
        <w:rPr>
          <w:rFonts w:ascii="Times New Roman" w:eastAsia="Times New Roman" w:hAnsi="Times New Roman"/>
          <w:color w:val="000000"/>
          <w:sz w:val="28"/>
          <w:szCs w:val="28"/>
          <w:lang w:eastAsia="ru-RU"/>
        </w:rPr>
        <w:t xml:space="preserve"> Наказ Держнаглядохоронпраці від 17.05.2005</w:t>
      </w:r>
      <w:r w:rsidR="000D5179">
        <w:rPr>
          <w:rFonts w:ascii="Times New Roman" w:eastAsia="Times New Roman" w:hAnsi="Times New Roman"/>
          <w:color w:val="000000"/>
          <w:sz w:val="28"/>
          <w:szCs w:val="28"/>
          <w:lang w:eastAsia="ru-RU"/>
        </w:rPr>
        <w:t xml:space="preserve"> р.</w:t>
      </w:r>
      <w:r w:rsidRPr="008F251C">
        <w:rPr>
          <w:rFonts w:ascii="Times New Roman" w:eastAsia="Times New Roman" w:hAnsi="Times New Roman"/>
          <w:color w:val="000000"/>
          <w:sz w:val="28"/>
          <w:szCs w:val="28"/>
          <w:lang w:eastAsia="ru-RU"/>
        </w:rPr>
        <w:t xml:space="preserve"> № 87 «Про затвердження Порядку визначення уповноважених організацій, передбачених постановою Кабінету Міністрів України від 26.05.2004 </w:t>
      </w:r>
      <w:r w:rsidR="000D5179">
        <w:rPr>
          <w:rFonts w:ascii="Times New Roman" w:eastAsia="Times New Roman" w:hAnsi="Times New Roman"/>
          <w:color w:val="000000"/>
          <w:sz w:val="28"/>
          <w:szCs w:val="28"/>
          <w:lang w:eastAsia="ru-RU"/>
        </w:rPr>
        <w:t xml:space="preserve">р. </w:t>
      </w:r>
      <w:r w:rsidRPr="008F251C">
        <w:rPr>
          <w:rFonts w:ascii="Times New Roman" w:eastAsia="Times New Roman" w:hAnsi="Times New Roman"/>
          <w:color w:val="000000"/>
          <w:sz w:val="28"/>
          <w:szCs w:val="28"/>
          <w:lang w:eastAsia="ru-RU"/>
        </w:rPr>
        <w:t>№ 687» у зв’язку з порушенням принципів державної регуляторної політики, скасовано наказом Міністерства соціальної політики України № 981 ві</w:t>
      </w:r>
      <w:r w:rsidR="00BE061C">
        <w:rPr>
          <w:rFonts w:ascii="Times New Roman" w:eastAsia="Times New Roman" w:hAnsi="Times New Roman"/>
          <w:color w:val="000000"/>
          <w:sz w:val="28"/>
          <w:szCs w:val="28"/>
          <w:lang w:eastAsia="ru-RU"/>
        </w:rPr>
        <w:t>д 05.09.2016 р</w:t>
      </w:r>
      <w:r w:rsidRPr="008F251C">
        <w:rPr>
          <w:rFonts w:ascii="Times New Roman" w:eastAsia="Times New Roman" w:hAnsi="Times New Roman"/>
          <w:color w:val="000000"/>
          <w:sz w:val="28"/>
          <w:szCs w:val="28"/>
          <w:lang w:eastAsia="ru-RU"/>
        </w:rPr>
        <w:t>.</w:t>
      </w:r>
    </w:p>
    <w:p w:rsidR="00C20CFA" w:rsidRDefault="00C20CFA"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Пункт 41 Порядку проведення оглядів вимагає с</w:t>
      </w:r>
      <w:r w:rsidR="000D5179">
        <w:rPr>
          <w:rFonts w:ascii="Times New Roman" w:eastAsia="Times New Roman" w:hAnsi="Times New Roman"/>
          <w:color w:val="000000"/>
          <w:sz w:val="28"/>
          <w:szCs w:val="28"/>
          <w:lang w:eastAsia="ru-RU"/>
        </w:rPr>
        <w:t>пеціалізовані і експертні органі</w:t>
      </w:r>
      <w:r>
        <w:rPr>
          <w:rFonts w:ascii="Times New Roman" w:eastAsia="Times New Roman" w:hAnsi="Times New Roman"/>
          <w:color w:val="000000"/>
          <w:sz w:val="28"/>
          <w:szCs w:val="28"/>
          <w:lang w:eastAsia="ru-RU"/>
        </w:rPr>
        <w:t xml:space="preserve">зації </w:t>
      </w:r>
      <w:r w:rsidR="000D5179">
        <w:rPr>
          <w:rFonts w:ascii="Times New Roman" w:eastAsia="Times New Roman" w:hAnsi="Times New Roman"/>
          <w:color w:val="000000"/>
          <w:sz w:val="28"/>
          <w:szCs w:val="28"/>
          <w:lang w:eastAsia="ru-RU"/>
        </w:rPr>
        <w:t xml:space="preserve">направляти </w:t>
      </w:r>
      <w:r>
        <w:rPr>
          <w:rFonts w:ascii="Times New Roman" w:eastAsia="Times New Roman" w:hAnsi="Times New Roman"/>
          <w:color w:val="000000"/>
          <w:sz w:val="28"/>
          <w:szCs w:val="28"/>
          <w:lang w:eastAsia="ru-RU"/>
        </w:rPr>
        <w:t>повідомлення про результати технічного огляду та експертного обстеження устатковання третіх осіб до уповноважених організацій (суб</w:t>
      </w:r>
      <w:r w:rsidRPr="00C20CF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єктів господарювання), що не передбачено чинним законодавством. Відповідно абзацу 3 статті 39 Закону України «Про охорону праці» Держпраці має право одержувати висновки експертних обстежень, аудитів, матеріали та інформацію з відповідних питань тільки від роботодавця.</w:t>
      </w:r>
    </w:p>
    <w:p w:rsidR="002768F6" w:rsidRDefault="007B262C"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порушення вимог статті 16 Закону України «Про захист економічної конкуренції» Держнаглядохоронп</w:t>
      </w:r>
      <w:r w:rsidR="00BE061C">
        <w:rPr>
          <w:rFonts w:ascii="Times New Roman" w:eastAsia="Times New Roman" w:hAnsi="Times New Roman"/>
          <w:color w:val="000000"/>
          <w:sz w:val="28"/>
          <w:szCs w:val="28"/>
          <w:lang w:eastAsia="ru-RU"/>
        </w:rPr>
        <w:t>раці наказом від 28.07.2004 р.</w:t>
      </w:r>
      <w:r>
        <w:rPr>
          <w:rFonts w:ascii="Times New Roman" w:eastAsia="Times New Roman" w:hAnsi="Times New Roman"/>
          <w:color w:val="000000"/>
          <w:sz w:val="28"/>
          <w:szCs w:val="28"/>
          <w:lang w:eastAsia="ru-RU"/>
        </w:rPr>
        <w:t xml:space="preserve"> № 179 «Щодо визначення уповноважених організацій» делегував владні повноваження, з одержання висновків експертних обстежень, суб</w:t>
      </w:r>
      <w:r w:rsidRPr="007B262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єктам господарювання (уповноваженим організаціям), що призводить до обмеження та спотворення конкуренції.</w:t>
      </w:r>
      <w:r w:rsidR="002768F6">
        <w:rPr>
          <w:rFonts w:ascii="Times New Roman" w:eastAsia="Times New Roman" w:hAnsi="Times New Roman"/>
          <w:color w:val="000000"/>
          <w:sz w:val="28"/>
          <w:szCs w:val="28"/>
          <w:lang w:eastAsia="ru-RU"/>
        </w:rPr>
        <w:t xml:space="preserve"> </w:t>
      </w:r>
    </w:p>
    <w:p w:rsidR="002768F6" w:rsidRDefault="002768F6" w:rsidP="004A4A86">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Розроблений Держнаглядохоронпраці на застосування вимог пунктів 41-43</w:t>
      </w:r>
      <w:r w:rsidR="00C20CF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Порядку проведення оглядів «Порядок ведення обліку даних про технічний стан </w:t>
      </w:r>
      <w:r>
        <w:rPr>
          <w:rFonts w:ascii="Times New Roman" w:eastAsia="Times New Roman" w:hAnsi="Times New Roman"/>
          <w:color w:val="000000"/>
          <w:sz w:val="28"/>
          <w:szCs w:val="28"/>
          <w:lang w:eastAsia="ru-RU"/>
        </w:rPr>
        <w:lastRenderedPageBreak/>
        <w:t>машин, механізмів, устатковання підвищеної небезпеки затверджений наказом Державного комітету України з нагляду за охорон</w:t>
      </w:r>
      <w:r w:rsidR="00BE061C">
        <w:rPr>
          <w:rFonts w:ascii="Times New Roman" w:eastAsia="Times New Roman" w:hAnsi="Times New Roman"/>
          <w:color w:val="000000"/>
          <w:sz w:val="28"/>
          <w:szCs w:val="28"/>
          <w:lang w:eastAsia="ru-RU"/>
        </w:rPr>
        <w:t>ою праці від 06 грудня 2004 р.</w:t>
      </w:r>
      <w:r>
        <w:rPr>
          <w:rFonts w:ascii="Times New Roman" w:eastAsia="Times New Roman" w:hAnsi="Times New Roman"/>
          <w:color w:val="000000"/>
          <w:sz w:val="28"/>
          <w:szCs w:val="28"/>
          <w:lang w:eastAsia="ru-RU"/>
        </w:rPr>
        <w:t xml:space="preserve"> № 270 скасовано розпорядженням Кабінету Міністрів Укр</w:t>
      </w:r>
      <w:r w:rsidR="00BE061C">
        <w:rPr>
          <w:rFonts w:ascii="Times New Roman" w:eastAsia="Times New Roman" w:hAnsi="Times New Roman"/>
          <w:color w:val="000000"/>
          <w:sz w:val="28"/>
          <w:szCs w:val="28"/>
          <w:lang w:eastAsia="ru-RU"/>
        </w:rPr>
        <w:t>аїни № 166-р від 10.03.2017 р.</w:t>
      </w:r>
      <w:r>
        <w:rPr>
          <w:rFonts w:ascii="Times New Roman" w:eastAsia="Times New Roman" w:hAnsi="Times New Roman"/>
          <w:color w:val="000000"/>
          <w:sz w:val="28"/>
          <w:szCs w:val="28"/>
          <w:lang w:eastAsia="ru-RU"/>
        </w:rPr>
        <w:t>, як такий, що втратив свою актуальність та встановлює регуляторні бар</w:t>
      </w:r>
      <w:r w:rsidRPr="002768F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єри.</w:t>
      </w:r>
    </w:p>
    <w:p w:rsidR="00410FC7" w:rsidRDefault="00410FC7" w:rsidP="00E34FD0">
      <w:pPr>
        <w:keepNext/>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Відповідно до Розділу IX Програми діяльності Кабінету Міністрів України, схваленої постановою Верховної Ради України 14 квітня 2016 року № 1099-VIII, Кабінет Міністрів України має зосередити свою діяльність, у тому числі, на </w:t>
      </w:r>
      <w:bookmarkStart w:id="2" w:name="n40"/>
      <w:bookmarkEnd w:id="2"/>
      <w:r>
        <w:rPr>
          <w:rFonts w:ascii="Times New Roman" w:hAnsi="Times New Roman"/>
          <w:sz w:val="28"/>
          <w:szCs w:val="28"/>
        </w:rPr>
        <w:t xml:space="preserve">загальному зменшенні регуляторного тиску на бізнес, </w:t>
      </w:r>
      <w:r>
        <w:rPr>
          <w:rFonts w:ascii="Times New Roman" w:eastAsia="Times New Roman" w:hAnsi="Times New Roman"/>
          <w:sz w:val="28"/>
          <w:szCs w:val="28"/>
          <w:lang w:eastAsia="ru-RU"/>
        </w:rPr>
        <w:t>поліпшенні інвестиційного клімату в Україні</w:t>
      </w:r>
      <w:r>
        <w:rPr>
          <w:rFonts w:ascii="Times New Roman" w:hAnsi="Times New Roman"/>
          <w:sz w:val="28"/>
          <w:szCs w:val="28"/>
        </w:rPr>
        <w:t>.</w:t>
      </w:r>
    </w:p>
    <w:p w:rsidR="00E34FD0" w:rsidRDefault="00E34FD0" w:rsidP="00E34FD0">
      <w:pPr>
        <w:keepNext/>
        <w:widowControl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Отже, враховуючи невідповідність Порядку проведення огляду, випробування та експертного обстеження (технічного діагностування) машин, механізмів, устатковання підвищеної небезпеки Конституції України і законам України є всі підстави щодо його скасування.</w:t>
      </w:r>
    </w:p>
    <w:p w:rsidR="00410FC7" w:rsidRDefault="00E34FD0" w:rsidP="00BE061C">
      <w:pPr>
        <w:widowControl w:val="0"/>
        <w:spacing w:after="60" w:line="240" w:lineRule="auto"/>
        <w:ind w:left="567" w:firstLine="142"/>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00BE061C">
        <w:rPr>
          <w:rFonts w:ascii="Times New Roman" w:eastAsia="Times New Roman" w:hAnsi="Times New Roman"/>
          <w:b/>
          <w:sz w:val="28"/>
          <w:szCs w:val="28"/>
          <w:lang w:eastAsia="ru-RU"/>
        </w:rPr>
        <w:t xml:space="preserve">  </w:t>
      </w:r>
      <w:r w:rsidR="00410FC7">
        <w:rPr>
          <w:rFonts w:ascii="Times New Roman" w:eastAsia="Times New Roman" w:hAnsi="Times New Roman"/>
          <w:b/>
          <w:sz w:val="28"/>
          <w:szCs w:val="28"/>
          <w:lang w:eastAsia="ru-RU"/>
        </w:rPr>
        <w:t>2. Мета і шляхи її досягнення</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Метою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є:</w:t>
      </w:r>
    </w:p>
    <w:p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зменшення регуляторного тиску на бізнес;</w:t>
      </w:r>
    </w:p>
    <w:p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перехід всіх органів державного нагляду (контролю), на які поширюється сфера дії Закону «</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 xml:space="preserve">», на застосування єдиної процедури здійснення державного нагляду (контролю), яка передбачена безпосередньо Законом України </w:t>
      </w:r>
      <w:r w:rsidR="004443C2">
        <w:rPr>
          <w:rFonts w:ascii="Times New Roman" w:eastAsia="Times New Roman" w:hAnsi="Times New Roman"/>
          <w:sz w:val="28"/>
          <w:szCs w:val="28"/>
          <w:lang w:eastAsia="ru-RU"/>
        </w:rPr>
        <w:t>«</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 (тобто, уніфікація процедур здійснення державного нагляду (контролю) та спрощення регулювання зазначеної сфери відносин);</w:t>
      </w:r>
    </w:p>
    <w:p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нагляду (контролю), на які поширюється сфера дії Закону </w:t>
      </w:r>
      <w:r w:rsidR="004443C2">
        <w:rPr>
          <w:rFonts w:ascii="Times New Roman" w:eastAsia="Times New Roman" w:hAnsi="Times New Roman"/>
          <w:sz w:val="28"/>
          <w:szCs w:val="28"/>
          <w:lang w:eastAsia="ru-RU"/>
        </w:rPr>
        <w:t>«</w:t>
      </w:r>
      <w:r w:rsidR="004443C2">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p>
    <w:p w:rsidR="00410FC7" w:rsidRDefault="00410FC7" w:rsidP="00410FC7">
      <w:pPr>
        <w:pStyle w:val="a3"/>
        <w:widowControl w:val="0"/>
        <w:numPr>
          <w:ilvl w:val="0"/>
          <w:numId w:val="2"/>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поліпшення інвестиційного клімату та покращення умов ведення бізнесу в Україні;</w:t>
      </w:r>
    </w:p>
    <w:p w:rsidR="00410FC7" w:rsidRPr="004443C2" w:rsidRDefault="00410FC7" w:rsidP="00DD272E">
      <w:pPr>
        <w:pStyle w:val="a3"/>
        <w:keepNext/>
        <w:widowControl w:val="0"/>
        <w:numPr>
          <w:ilvl w:val="0"/>
          <w:numId w:val="2"/>
        </w:numPr>
        <w:tabs>
          <w:tab w:val="left" w:pos="1134"/>
        </w:tabs>
        <w:spacing w:after="0" w:line="240" w:lineRule="auto"/>
        <w:ind w:left="0" w:firstLine="709"/>
        <w:jc w:val="both"/>
        <w:rPr>
          <w:rFonts w:ascii="Times New Roman" w:eastAsia="Times New Roman" w:hAnsi="Times New Roman"/>
          <w:sz w:val="28"/>
          <w:szCs w:val="28"/>
          <w:lang w:eastAsia="ru-RU"/>
        </w:rPr>
      </w:pPr>
      <w:r w:rsidRPr="004443C2">
        <w:rPr>
          <w:rFonts w:ascii="Times New Roman" w:eastAsia="Times New Roman" w:hAnsi="Times New Roman"/>
          <w:sz w:val="28"/>
          <w:szCs w:val="28"/>
          <w:lang w:eastAsia="ru-RU"/>
        </w:rPr>
        <w:t xml:space="preserve">приведення регуляторного поля (в частині підзаконних актів) у відповідність до вимог Закону України «Про </w:t>
      </w:r>
      <w:r w:rsidR="004443C2" w:rsidRPr="004443C2">
        <w:rPr>
          <w:rFonts w:ascii="Times New Roman" w:eastAsia="Times New Roman" w:hAnsi="Times New Roman"/>
          <w:sz w:val="28"/>
          <w:szCs w:val="28"/>
          <w:lang w:eastAsia="ru-RU"/>
        </w:rPr>
        <w:t>охорону праці</w:t>
      </w:r>
      <w:r w:rsidRPr="004443C2">
        <w:rPr>
          <w:rFonts w:ascii="Times New Roman" w:eastAsia="Times New Roman" w:hAnsi="Times New Roman"/>
          <w:sz w:val="28"/>
          <w:szCs w:val="28"/>
          <w:lang w:eastAsia="ru-RU"/>
        </w:rPr>
        <w:t>»</w:t>
      </w:r>
      <w:r w:rsidR="004443C2" w:rsidRPr="004443C2">
        <w:rPr>
          <w:rFonts w:ascii="Times New Roman" w:eastAsia="Times New Roman" w:hAnsi="Times New Roman"/>
          <w:sz w:val="28"/>
          <w:szCs w:val="28"/>
          <w:lang w:eastAsia="ru-RU"/>
        </w:rPr>
        <w:t xml:space="preserve">, </w:t>
      </w:r>
      <w:r w:rsidR="004443C2" w:rsidRPr="004443C2">
        <w:rPr>
          <w:rFonts w:ascii="Times New Roman" w:eastAsia="Times New Roman" w:hAnsi="Times New Roman"/>
          <w:color w:val="000000"/>
          <w:sz w:val="28"/>
          <w:szCs w:val="28"/>
          <w:lang w:eastAsia="ru-RU"/>
        </w:rPr>
        <w:t xml:space="preserve">Закону України «Про акредитацію органів з оцінки відповідності», вимогам </w:t>
      </w:r>
      <w:bookmarkStart w:id="3" w:name="_Hlk496787984"/>
      <w:r w:rsidR="004443C2" w:rsidRPr="004443C2">
        <w:rPr>
          <w:rFonts w:ascii="Times New Roman" w:eastAsia="Times New Roman" w:hAnsi="Times New Roman"/>
          <w:color w:val="000000"/>
          <w:sz w:val="28"/>
          <w:szCs w:val="28"/>
          <w:lang w:eastAsia="ru-RU"/>
        </w:rPr>
        <w:t>Державного стандарту ДСТУ ISO/IEC 17020:2014 «Оцінка відповідності. Вимоги до роботи різних типів органів з інспектування»</w:t>
      </w:r>
      <w:bookmarkEnd w:id="3"/>
      <w:r w:rsidR="004443C2" w:rsidRPr="004443C2">
        <w:rPr>
          <w:rFonts w:ascii="Times New Roman" w:eastAsia="Times New Roman" w:hAnsi="Times New Roman"/>
          <w:color w:val="000000"/>
          <w:sz w:val="28"/>
          <w:szCs w:val="28"/>
          <w:lang w:eastAsia="ru-RU"/>
        </w:rPr>
        <w:t xml:space="preserve"> </w:t>
      </w:r>
      <w:r w:rsidRPr="004443C2">
        <w:rPr>
          <w:rFonts w:ascii="Times New Roman" w:eastAsia="Times New Roman" w:hAnsi="Times New Roman"/>
          <w:sz w:val="28"/>
          <w:szCs w:val="28"/>
          <w:lang w:eastAsia="ru-RU"/>
        </w:rPr>
        <w:t>та Конституції України.</w:t>
      </w:r>
    </w:p>
    <w:p w:rsidR="00410FC7" w:rsidRDefault="00410FC7" w:rsidP="00410FC7">
      <w:pPr>
        <w:widowControl w:val="0"/>
        <w:spacing w:after="6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Досягти зазначеної мети пропонується шляхом скасування </w:t>
      </w:r>
      <w:r w:rsidR="004443C2">
        <w:rPr>
          <w:rFonts w:ascii="Times New Roman" w:eastAsia="Times New Roman" w:hAnsi="Times New Roman"/>
          <w:sz w:val="28"/>
          <w:szCs w:val="28"/>
          <w:lang w:eastAsia="ru-RU"/>
        </w:rPr>
        <w:t xml:space="preserve">постанови </w:t>
      </w:r>
      <w:r w:rsidR="00EC18F4">
        <w:rPr>
          <w:rFonts w:ascii="Times New Roman" w:eastAsia="Times New Roman" w:hAnsi="Times New Roman"/>
          <w:sz w:val="28"/>
          <w:szCs w:val="28"/>
        </w:rPr>
        <w:t xml:space="preserve">Кабінету Міністрів України від 26 травня 2004 р. № 687 «Про затвердження Порядку проведення  огляду, випробування та експертного обстеження (технічного діагностування) машин, механізмів, устатковання підвищеної небезпеки», що є складовою інспекційної реформи та повністю відповідає </w:t>
      </w:r>
      <w:r w:rsidR="004736BD">
        <w:rPr>
          <w:rFonts w:ascii="Times New Roman" w:eastAsia="Times New Roman" w:hAnsi="Times New Roman"/>
          <w:sz w:val="28"/>
          <w:szCs w:val="28"/>
        </w:rPr>
        <w:t>меті - очищення</w:t>
      </w:r>
      <w:r w:rsidR="00EC18F4">
        <w:rPr>
          <w:rFonts w:ascii="Times New Roman" w:eastAsia="Times New Roman" w:hAnsi="Times New Roman"/>
          <w:sz w:val="28"/>
          <w:szCs w:val="28"/>
        </w:rPr>
        <w:t xml:space="preserve"> регуляторного поля в сфері охорони праці. </w:t>
      </w:r>
    </w:p>
    <w:p w:rsidR="00EC18F4" w:rsidRDefault="00EC18F4"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Правові аспекти</w:t>
      </w:r>
    </w:p>
    <w:p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даній сфері правового регулювання діють такі нормативно-правові акти:</w:t>
      </w:r>
    </w:p>
    <w:p w:rsidR="00410FC7"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Конституція України;</w:t>
      </w:r>
    </w:p>
    <w:p w:rsidR="00410FC7"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 України «Про основні засади державного нагляду (контролю) у сфері господарської діяльності»;</w:t>
      </w:r>
    </w:p>
    <w:p w:rsidR="002C38AE" w:rsidRDefault="002C38AE"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Закону України «Про охорону праці»;</w:t>
      </w:r>
    </w:p>
    <w:p w:rsidR="002C38AE" w:rsidRDefault="002C38AE"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 України «</w:t>
      </w:r>
      <w:r w:rsidR="00ED40CB" w:rsidRPr="004443C2">
        <w:rPr>
          <w:rFonts w:ascii="Times New Roman" w:eastAsia="Times New Roman" w:hAnsi="Times New Roman"/>
          <w:color w:val="000000"/>
          <w:sz w:val="28"/>
          <w:szCs w:val="28"/>
          <w:lang w:eastAsia="ru-RU"/>
        </w:rPr>
        <w:t>Про акредитацію органів з оцінки відповідності</w:t>
      </w:r>
      <w:r w:rsidR="00AD2008">
        <w:rPr>
          <w:rFonts w:ascii="Times New Roman" w:eastAsia="Times New Roman" w:hAnsi="Times New Roman"/>
          <w:color w:val="000000"/>
          <w:sz w:val="28"/>
          <w:szCs w:val="28"/>
          <w:lang w:eastAsia="ru-RU"/>
        </w:rPr>
        <w:t>»;</w:t>
      </w:r>
    </w:p>
    <w:p w:rsidR="00410FC7" w:rsidRPr="00AD2008"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hAnsi="Times New Roman"/>
          <w:sz w:val="28"/>
          <w:szCs w:val="28"/>
        </w:rPr>
        <w:t>Закон України «Про Кабінет Міністрів України»;</w:t>
      </w:r>
    </w:p>
    <w:p w:rsidR="00AD2008" w:rsidRDefault="00AD2008"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ru-RU"/>
        </w:rPr>
        <w:t>Державний</w:t>
      </w:r>
      <w:r w:rsidRPr="004443C2">
        <w:rPr>
          <w:rFonts w:ascii="Times New Roman" w:eastAsia="Times New Roman" w:hAnsi="Times New Roman"/>
          <w:color w:val="000000"/>
          <w:sz w:val="28"/>
          <w:szCs w:val="28"/>
          <w:lang w:eastAsia="ru-RU"/>
        </w:rPr>
        <w:t xml:space="preserve"> ст</w:t>
      </w:r>
      <w:r>
        <w:rPr>
          <w:rFonts w:ascii="Times New Roman" w:eastAsia="Times New Roman" w:hAnsi="Times New Roman"/>
          <w:color w:val="000000"/>
          <w:sz w:val="28"/>
          <w:szCs w:val="28"/>
          <w:lang w:eastAsia="ru-RU"/>
        </w:rPr>
        <w:t>андарт</w:t>
      </w:r>
      <w:r w:rsidRPr="004443C2">
        <w:rPr>
          <w:rFonts w:ascii="Times New Roman" w:eastAsia="Times New Roman" w:hAnsi="Times New Roman"/>
          <w:color w:val="000000"/>
          <w:sz w:val="28"/>
          <w:szCs w:val="28"/>
          <w:lang w:eastAsia="ru-RU"/>
        </w:rPr>
        <w:t xml:space="preserve"> ДСТУ ISO/IEC 17020:2014 «Оцінка відповідності. Вимоги до роботи різних типів органів з інспектування»</w:t>
      </w:r>
      <w:r>
        <w:rPr>
          <w:rFonts w:ascii="Times New Roman" w:eastAsia="Times New Roman" w:hAnsi="Times New Roman"/>
          <w:color w:val="000000"/>
          <w:sz w:val="28"/>
          <w:szCs w:val="28"/>
          <w:lang w:eastAsia="ru-RU"/>
        </w:rPr>
        <w:t>;</w:t>
      </w:r>
    </w:p>
    <w:p w:rsidR="00410FC7" w:rsidRDefault="00410FC7" w:rsidP="00410FC7">
      <w:pPr>
        <w:pStyle w:val="a3"/>
        <w:widowControl w:val="0"/>
        <w:numPr>
          <w:ilvl w:val="0"/>
          <w:numId w:val="3"/>
        </w:numPr>
        <w:tabs>
          <w:tab w:val="left" w:pos="1134"/>
        </w:tabs>
        <w:spacing w:after="60" w:line="240" w:lineRule="auto"/>
        <w:ind w:left="0" w:firstLine="709"/>
        <w:jc w:val="both"/>
        <w:rPr>
          <w:rFonts w:ascii="Times New Roman" w:eastAsia="Times New Roman" w:hAnsi="Times New Roman"/>
          <w:sz w:val="28"/>
          <w:szCs w:val="28"/>
          <w:lang w:eastAsia="uk-UA"/>
        </w:rPr>
      </w:pPr>
      <w:r>
        <w:rPr>
          <w:rFonts w:ascii="Times New Roman" w:hAnsi="Times New Roman"/>
          <w:sz w:val="28"/>
          <w:szCs w:val="28"/>
        </w:rPr>
        <w:t>Програма діяльності Кабінету Міністрів України, схвалена постановою Верховної Ради України 14 квітня 2016 року № 1099-VIII.</w:t>
      </w:r>
    </w:p>
    <w:p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Реалізація проекту </w:t>
      </w:r>
      <w:r w:rsidR="00FE32AE">
        <w:rPr>
          <w:rFonts w:ascii="Times New Roman" w:eastAsia="Times New Roman" w:hAnsi="Times New Roman"/>
          <w:sz w:val="28"/>
          <w:szCs w:val="28"/>
          <w:lang w:eastAsia="uk-UA"/>
        </w:rPr>
        <w:t>постанови</w:t>
      </w:r>
      <w:r>
        <w:rPr>
          <w:rFonts w:ascii="Times New Roman" w:eastAsia="Times New Roman" w:hAnsi="Times New Roman"/>
          <w:sz w:val="28"/>
          <w:szCs w:val="28"/>
          <w:lang w:eastAsia="uk-UA"/>
        </w:rPr>
        <w:t xml:space="preserve"> не потребує внесення змін до чинних актів чи розроблення нових актів.</w:t>
      </w:r>
    </w:p>
    <w:p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Фінансово-економічне обґрунтування</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Реалізація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потребує додаткового фінансування з державного чи місцевого бюджетів.</w:t>
      </w:r>
    </w:p>
    <w:p w:rsidR="00410FC7" w:rsidRDefault="00410FC7" w:rsidP="00410FC7">
      <w:pPr>
        <w:widowControl w:val="0"/>
        <w:tabs>
          <w:tab w:val="left" w:pos="0"/>
          <w:tab w:val="left" w:pos="709"/>
          <w:tab w:val="left" w:pos="993"/>
        </w:tabs>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Позиція зацікавлених органів</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потребує погодження з Міністерством </w:t>
      </w:r>
      <w:r w:rsidR="00AD2008">
        <w:rPr>
          <w:rFonts w:ascii="Times New Roman" w:eastAsia="Times New Roman" w:hAnsi="Times New Roman"/>
          <w:sz w:val="28"/>
          <w:szCs w:val="28"/>
          <w:lang w:eastAsia="ru-RU"/>
        </w:rPr>
        <w:t>соціальної політики</w:t>
      </w:r>
      <w:r>
        <w:rPr>
          <w:rFonts w:ascii="Times New Roman" w:eastAsia="Times New Roman" w:hAnsi="Times New Roman"/>
          <w:sz w:val="28"/>
          <w:szCs w:val="28"/>
          <w:lang w:eastAsia="ru-RU"/>
        </w:rPr>
        <w:t xml:space="preserve"> України, </w:t>
      </w:r>
      <w:r w:rsidR="00142E15">
        <w:rPr>
          <w:rFonts w:ascii="Times New Roman" w:eastAsia="Times New Roman" w:hAnsi="Times New Roman"/>
          <w:sz w:val="28"/>
          <w:szCs w:val="28"/>
          <w:lang w:eastAsia="ru-RU"/>
        </w:rPr>
        <w:t xml:space="preserve">Міністерством економічного розвитку та торгівлі України, </w:t>
      </w:r>
      <w:r>
        <w:rPr>
          <w:rFonts w:ascii="Times New Roman" w:eastAsia="Times New Roman" w:hAnsi="Times New Roman"/>
          <w:sz w:val="28"/>
          <w:szCs w:val="28"/>
          <w:lang w:eastAsia="ru-RU"/>
        </w:rPr>
        <w:t>Міністерством юстиції України та Державною регуляторною службою України.</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Регіональний аспект</w:t>
      </w:r>
    </w:p>
    <w:p w:rsidR="00410FC7" w:rsidRDefault="00410FC7" w:rsidP="00410FC7">
      <w:pPr>
        <w:pStyle w:val="a4"/>
        <w:widowControl w:val="0"/>
        <w:tabs>
          <w:tab w:val="left" w:pos="851"/>
        </w:tabs>
        <w:spacing w:before="0" w:after="60"/>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FE32AE">
        <w:rPr>
          <w:rFonts w:ascii="Times New Roman" w:hAnsi="Times New Roman" w:cs="Times New Roman"/>
          <w:sz w:val="28"/>
          <w:szCs w:val="28"/>
        </w:rPr>
        <w:t>постанови</w:t>
      </w:r>
      <w:r>
        <w:rPr>
          <w:rFonts w:ascii="Times New Roman" w:hAnsi="Times New Roman" w:cs="Times New Roman"/>
          <w:sz w:val="28"/>
          <w:szCs w:val="28"/>
        </w:rPr>
        <w:t xml:space="preserve"> не стосується питання розвитку адміністративно-територіальних одиниць.</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Pr>
          <w:rFonts w:ascii="Times New Roman" w:eastAsia="Times New Roman" w:hAnsi="Times New Roman"/>
          <w:b/>
          <w:sz w:val="28"/>
          <w:szCs w:val="28"/>
          <w:vertAlign w:val="superscript"/>
          <w:lang w:eastAsia="ru-RU"/>
        </w:rPr>
        <w:t>1</w:t>
      </w:r>
      <w:r>
        <w:rPr>
          <w:rFonts w:ascii="Times New Roman" w:eastAsia="Times New Roman" w:hAnsi="Times New Roman"/>
          <w:b/>
          <w:sz w:val="28"/>
          <w:szCs w:val="28"/>
          <w:lang w:eastAsia="ru-RU"/>
        </w:rPr>
        <w:t>. Запобігання дискримінації</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bookmarkStart w:id="4" w:name="n1178"/>
      <w:bookmarkEnd w:id="4"/>
      <w:r>
        <w:rPr>
          <w:rFonts w:ascii="Times New Roman" w:eastAsia="Times New Roman" w:hAnsi="Times New Roman"/>
          <w:sz w:val="28"/>
          <w:szCs w:val="28"/>
          <w:lang w:eastAsia="ru-RU"/>
        </w:rPr>
        <w:t xml:space="preserve">У проекті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відсутні положення, що містять ознаки дискримінації. </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7. Запобігання корупції </w:t>
      </w: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містить правил і процедур, які можуть містити ризики вчинення корупційних правопорушень.</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потребує проведення громадської антикорупційної експертизи.</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8. Громадське обговорення </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w:t>
      </w:r>
      <w:r w:rsidR="00FE32AE">
        <w:rPr>
          <w:rFonts w:ascii="Times New Roman" w:eastAsia="Times New Roman" w:hAnsi="Times New Roman"/>
          <w:sz w:val="28"/>
          <w:szCs w:val="28"/>
          <w:lang w:eastAsia="ru-RU"/>
        </w:rPr>
        <w:t xml:space="preserve">не </w:t>
      </w:r>
      <w:r>
        <w:rPr>
          <w:rFonts w:ascii="Times New Roman" w:eastAsia="Times New Roman" w:hAnsi="Times New Roman"/>
          <w:sz w:val="28"/>
          <w:szCs w:val="28"/>
          <w:lang w:eastAsia="ru-RU"/>
        </w:rPr>
        <w:t>потребує проведення консультацій з громадськістю.</w:t>
      </w:r>
    </w:p>
    <w:p w:rsidR="003E47A2" w:rsidRDefault="003E47A2" w:rsidP="00410FC7">
      <w:pPr>
        <w:widowControl w:val="0"/>
        <w:spacing w:after="60" w:line="240" w:lineRule="auto"/>
        <w:ind w:firstLine="709"/>
        <w:jc w:val="both"/>
        <w:rPr>
          <w:rFonts w:ascii="Times New Roman" w:eastAsia="Times New Roman" w:hAnsi="Times New Roman"/>
          <w:sz w:val="28"/>
          <w:szCs w:val="28"/>
          <w:lang w:eastAsia="ru-RU"/>
        </w:rPr>
      </w:pPr>
    </w:p>
    <w:p w:rsidR="003E47A2" w:rsidRPr="003E47A2" w:rsidRDefault="003E47A2" w:rsidP="003E4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textAlignment w:val="baseline"/>
        <w:rPr>
          <w:rFonts w:ascii="Times New Roman" w:eastAsiaTheme="minorHAnsi" w:hAnsi="Times New Roman" w:cstheme="minorBidi"/>
          <w:b/>
          <w:sz w:val="28"/>
          <w:szCs w:val="28"/>
          <w:lang w:val="ru-RU"/>
        </w:rPr>
      </w:pPr>
      <w:r w:rsidRPr="003E47A2">
        <w:rPr>
          <w:rFonts w:ascii="Times New Roman" w:eastAsiaTheme="minorHAnsi" w:hAnsi="Times New Roman" w:cstheme="minorBidi"/>
          <w:b/>
          <w:sz w:val="28"/>
          <w:szCs w:val="28"/>
          <w:lang w:val="ru-RU"/>
        </w:rPr>
        <w:t>8</w:t>
      </w:r>
      <w:r w:rsidRPr="003E47A2">
        <w:rPr>
          <w:rFonts w:ascii="Times New Roman" w:eastAsiaTheme="minorHAnsi" w:hAnsi="Times New Roman" w:cstheme="minorBidi"/>
          <w:b/>
          <w:sz w:val="28"/>
          <w:szCs w:val="28"/>
          <w:vertAlign w:val="superscript"/>
          <w:lang w:val="ru-RU"/>
        </w:rPr>
        <w:t>1</w:t>
      </w:r>
      <w:r w:rsidRPr="003E47A2">
        <w:rPr>
          <w:rFonts w:ascii="Times New Roman" w:eastAsiaTheme="minorHAnsi" w:hAnsi="Times New Roman" w:cstheme="minorBidi"/>
          <w:b/>
          <w:sz w:val="28"/>
          <w:szCs w:val="28"/>
          <w:lang w:val="ru-RU"/>
        </w:rPr>
        <w:t>. Розгляд Науковим комітетом Національної ради України з питань розвитку науки і технологій</w:t>
      </w:r>
    </w:p>
    <w:p w:rsidR="003E47A2" w:rsidRPr="003E47A2" w:rsidRDefault="003E47A2" w:rsidP="003E4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heme="minorHAnsi" w:hAnsi="Times New Roman" w:cstheme="minorBidi"/>
          <w:sz w:val="28"/>
          <w:szCs w:val="28"/>
          <w:lang w:val="ru-RU"/>
        </w:rPr>
      </w:pPr>
      <w:bookmarkStart w:id="5" w:name="n1646"/>
      <w:bookmarkEnd w:id="5"/>
      <w:r w:rsidRPr="003E47A2">
        <w:rPr>
          <w:rFonts w:ascii="Times New Roman" w:eastAsiaTheme="minorHAnsi" w:hAnsi="Times New Roman" w:cstheme="minorBidi"/>
          <w:sz w:val="28"/>
          <w:szCs w:val="28"/>
          <w:lang w:val="ru-RU"/>
        </w:rPr>
        <w:lastRenderedPageBreak/>
        <w:t>Проект постанови не стосується сфери наукової та науково-технічної діяльності і не надсилався на розгляд Наукового комітету Національної ради України з питань розвитку науки і технологій.</w:t>
      </w:r>
    </w:p>
    <w:p w:rsidR="003E47A2" w:rsidRPr="003E47A2" w:rsidRDefault="003E47A2" w:rsidP="00410FC7">
      <w:pPr>
        <w:widowControl w:val="0"/>
        <w:spacing w:after="60" w:line="240" w:lineRule="auto"/>
        <w:ind w:firstLine="709"/>
        <w:jc w:val="both"/>
        <w:rPr>
          <w:rFonts w:ascii="Times New Roman" w:eastAsia="Times New Roman" w:hAnsi="Times New Roman"/>
          <w:sz w:val="28"/>
          <w:szCs w:val="28"/>
          <w:lang w:val="ru-RU" w:eastAsia="ru-RU"/>
        </w:rPr>
      </w:pPr>
    </w:p>
    <w:p w:rsidR="00410FC7" w:rsidRDefault="00410FC7" w:rsidP="00410FC7">
      <w:pPr>
        <w:widowControl w:val="0"/>
        <w:spacing w:after="6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9. </w:t>
      </w:r>
      <w:r>
        <w:rPr>
          <w:rFonts w:ascii="Times New Roman" w:eastAsia="Times New Roman" w:hAnsi="Times New Roman"/>
          <w:b/>
          <w:sz w:val="28"/>
          <w:szCs w:val="28"/>
          <w:lang w:eastAsia="ru-RU"/>
        </w:rPr>
        <w:t>Позиція соціальних партнерів</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не стосується питань соціально-трудової сфери.</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 Оцінка регуляторного впливу</w:t>
      </w:r>
    </w:p>
    <w:p w:rsidR="00410FC7" w:rsidRDefault="00FD6B52"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Проект </w:t>
      </w:r>
      <w:r w:rsidR="004E71D1">
        <w:rPr>
          <w:rFonts w:ascii="Times New Roman" w:eastAsia="Times New Roman" w:hAnsi="Times New Roman"/>
          <w:color w:val="000000"/>
          <w:sz w:val="28"/>
          <w:szCs w:val="28"/>
          <w:lang w:eastAsia="ru-RU"/>
        </w:rPr>
        <w:t xml:space="preserve">постанови </w:t>
      </w:r>
      <w:r>
        <w:rPr>
          <w:rFonts w:ascii="Times New Roman" w:eastAsia="Times New Roman" w:hAnsi="Times New Roman"/>
          <w:color w:val="000000"/>
          <w:sz w:val="28"/>
          <w:szCs w:val="28"/>
          <w:lang w:eastAsia="ru-RU"/>
        </w:rPr>
        <w:t xml:space="preserve">не має ознак </w:t>
      </w:r>
      <w:r w:rsidR="004E71D1">
        <w:rPr>
          <w:rFonts w:ascii="Times New Roman" w:eastAsia="Times New Roman" w:hAnsi="Times New Roman"/>
          <w:color w:val="000000"/>
          <w:sz w:val="28"/>
          <w:szCs w:val="28"/>
          <w:lang w:eastAsia="ru-RU"/>
        </w:rPr>
        <w:t>регуляторного акта</w:t>
      </w:r>
      <w:r w:rsidR="00410FC7">
        <w:rPr>
          <w:rFonts w:ascii="Times New Roman" w:eastAsia="Times New Roman" w:hAnsi="Times New Roman"/>
          <w:color w:val="000000"/>
          <w:sz w:val="28"/>
          <w:szCs w:val="28"/>
          <w:lang w:eastAsia="ru-RU"/>
        </w:rPr>
        <w:t>.</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pStyle w:val="2"/>
        <w:widowControl w:val="0"/>
        <w:tabs>
          <w:tab w:val="left" w:pos="0"/>
        </w:tabs>
        <w:spacing w:after="60" w:line="240" w:lineRule="auto"/>
        <w:ind w:firstLine="709"/>
        <w:jc w:val="both"/>
        <w:rPr>
          <w:b/>
          <w:sz w:val="28"/>
          <w:szCs w:val="28"/>
          <w:lang w:val="uk-UA"/>
        </w:rPr>
      </w:pPr>
      <w:r>
        <w:rPr>
          <w:b/>
          <w:sz w:val="28"/>
          <w:szCs w:val="28"/>
          <w:lang w:val="uk-UA"/>
        </w:rPr>
        <w:t>10</w:t>
      </w:r>
      <w:r>
        <w:rPr>
          <w:b/>
          <w:sz w:val="28"/>
          <w:szCs w:val="28"/>
          <w:vertAlign w:val="superscript"/>
          <w:lang w:val="uk-UA"/>
        </w:rPr>
        <w:t>1</w:t>
      </w:r>
      <w:r>
        <w:rPr>
          <w:b/>
          <w:sz w:val="28"/>
          <w:szCs w:val="28"/>
          <w:lang w:val="uk-UA"/>
        </w:rPr>
        <w:t>. Вплив реалізації акта на ринок праці</w:t>
      </w:r>
    </w:p>
    <w:p w:rsidR="00410FC7" w:rsidRDefault="00410FC7" w:rsidP="00410FC7">
      <w:pPr>
        <w:pStyle w:val="2"/>
        <w:widowControl w:val="0"/>
        <w:tabs>
          <w:tab w:val="left" w:pos="0"/>
        </w:tabs>
        <w:spacing w:after="60" w:line="240" w:lineRule="auto"/>
        <w:ind w:firstLine="709"/>
        <w:jc w:val="both"/>
        <w:rPr>
          <w:sz w:val="28"/>
          <w:szCs w:val="28"/>
          <w:lang w:val="uk-UA"/>
        </w:rPr>
      </w:pPr>
      <w:r>
        <w:rPr>
          <w:sz w:val="28"/>
          <w:szCs w:val="28"/>
          <w:lang w:val="uk-UA"/>
        </w:rPr>
        <w:t xml:space="preserve">Проект </w:t>
      </w:r>
      <w:r w:rsidR="00FE32AE">
        <w:rPr>
          <w:sz w:val="28"/>
          <w:szCs w:val="28"/>
          <w:lang w:val="uk-UA"/>
        </w:rPr>
        <w:t>постанови</w:t>
      </w:r>
      <w:r>
        <w:rPr>
          <w:sz w:val="28"/>
          <w:szCs w:val="28"/>
          <w:lang w:val="uk-UA"/>
        </w:rPr>
        <w:t xml:space="preserve"> не спрямований безпосередньо на регулювання трудових відносин, тому реалізація його положень не вплине на ринок праці.</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 Прогноз результатів</w:t>
      </w:r>
    </w:p>
    <w:p w:rsidR="00410FC7" w:rsidRDefault="00410FC7" w:rsidP="00410FC7">
      <w:pPr>
        <w:widowControl w:val="0"/>
        <w:spacing w:after="6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Прийняття проекту </w:t>
      </w:r>
      <w:r w:rsidR="00FE32AE">
        <w:rPr>
          <w:rFonts w:ascii="Times New Roman" w:eastAsia="Times New Roman" w:hAnsi="Times New Roman"/>
          <w:sz w:val="28"/>
          <w:szCs w:val="28"/>
          <w:lang w:eastAsia="ru-RU"/>
        </w:rPr>
        <w:t>постанови</w:t>
      </w:r>
      <w:r>
        <w:rPr>
          <w:rFonts w:ascii="Times New Roman" w:eastAsia="Times New Roman" w:hAnsi="Times New Roman"/>
          <w:sz w:val="28"/>
          <w:szCs w:val="28"/>
          <w:lang w:eastAsia="ru-RU"/>
        </w:rPr>
        <w:t xml:space="preserve"> дозволить реалізувати завдання, передбачені </w:t>
      </w:r>
      <w:r>
        <w:rPr>
          <w:rFonts w:ascii="Times New Roman" w:hAnsi="Times New Roman"/>
          <w:sz w:val="28"/>
          <w:szCs w:val="28"/>
        </w:rPr>
        <w:t xml:space="preserve">Розділом IX Програми діяльності Кабінету Міністрів України, схваленої постановою Верховної Ради України 14 квітня 2016 року № 1099-VIII, в частині </w:t>
      </w:r>
      <w:r>
        <w:rPr>
          <w:rFonts w:ascii="Times New Roman" w:eastAsia="Times New Roman" w:hAnsi="Times New Roman"/>
          <w:sz w:val="28"/>
          <w:szCs w:val="28"/>
          <w:lang w:eastAsia="ru-RU"/>
        </w:rPr>
        <w:t>зменшення регуляторного тиску на бізнес, а також поліпшення інвестиційного клімату та покращення умов ведення бізнесу в Україні. Зазначене матиме місце за рахунок:</w:t>
      </w:r>
    </w:p>
    <w:p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уніфікації процедур здійснення державного нагляду (контролю) завдяки переходу всіх органів державного нагляду (контролю), на які поширюється сфера дії Закону </w:t>
      </w:r>
      <w:r w:rsidR="008B6859">
        <w:rPr>
          <w:rFonts w:ascii="Times New Roman" w:eastAsia="Times New Roman" w:hAnsi="Times New Roman"/>
          <w:sz w:val="28"/>
          <w:szCs w:val="28"/>
          <w:lang w:eastAsia="ru-RU"/>
        </w:rPr>
        <w:t>«</w:t>
      </w:r>
      <w:bookmarkStart w:id="6" w:name="_Hlk496792171"/>
      <w:r w:rsidR="008B6859">
        <w:rPr>
          <w:rFonts w:ascii="Times New Roman" w:hAnsi="Times New Roman"/>
          <w:sz w:val="28"/>
          <w:szCs w:val="28"/>
        </w:rPr>
        <w:t>Про основні засади державного нагляду (контролю) у сфері господарської діяльності</w:t>
      </w:r>
      <w:bookmarkEnd w:id="6"/>
      <w:r>
        <w:rPr>
          <w:rFonts w:ascii="Times New Roman" w:eastAsia="Times New Roman" w:hAnsi="Times New Roman"/>
          <w:sz w:val="28"/>
          <w:szCs w:val="28"/>
          <w:lang w:eastAsia="ru-RU"/>
        </w:rPr>
        <w:t>», на застосування єдиної процедури здійснення державного нагляду (контролю), яка передбачена безпосередньо Законом України «</w:t>
      </w:r>
      <w:r w:rsidR="008B6859">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p>
    <w:p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спрощення нормативно-правового регулювання, що наразі існує у сфері </w:t>
      </w:r>
      <w:r w:rsidR="008B6859">
        <w:rPr>
          <w:rFonts w:ascii="Times New Roman" w:eastAsia="Times New Roman" w:hAnsi="Times New Roman"/>
          <w:sz w:val="28"/>
          <w:szCs w:val="28"/>
          <w:lang w:eastAsia="ru-RU"/>
        </w:rPr>
        <w:t>охорони праці</w:t>
      </w:r>
      <w:r>
        <w:rPr>
          <w:rFonts w:ascii="Times New Roman" w:eastAsia="Times New Roman" w:hAnsi="Times New Roman"/>
          <w:sz w:val="28"/>
          <w:szCs w:val="28"/>
          <w:lang w:eastAsia="ru-RU"/>
        </w:rPr>
        <w:t>;</w:t>
      </w:r>
    </w:p>
    <w:p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зменшення можливостей для зловживань з боку представників органів державного нагляду (контролю), на </w:t>
      </w:r>
      <w:r w:rsidR="008B6859">
        <w:rPr>
          <w:rFonts w:ascii="Times New Roman" w:eastAsia="Times New Roman" w:hAnsi="Times New Roman"/>
          <w:sz w:val="28"/>
          <w:szCs w:val="28"/>
          <w:lang w:eastAsia="ru-RU"/>
        </w:rPr>
        <w:t xml:space="preserve">які поширюється сфера дії </w:t>
      </w:r>
      <w:bookmarkStart w:id="7" w:name="_Hlk496792246"/>
      <w:r w:rsidR="008B6859">
        <w:rPr>
          <w:rFonts w:ascii="Times New Roman" w:eastAsia="Times New Roman" w:hAnsi="Times New Roman"/>
          <w:sz w:val="28"/>
          <w:szCs w:val="28"/>
          <w:lang w:eastAsia="ru-RU"/>
        </w:rPr>
        <w:t>законів України</w:t>
      </w:r>
      <w:r>
        <w:rPr>
          <w:rFonts w:ascii="Times New Roman" w:eastAsia="Times New Roman" w:hAnsi="Times New Roman"/>
          <w:sz w:val="28"/>
          <w:szCs w:val="28"/>
          <w:lang w:eastAsia="ru-RU"/>
        </w:rPr>
        <w:t xml:space="preserve"> «</w:t>
      </w:r>
      <w:r w:rsidR="008B6859">
        <w:rPr>
          <w:rFonts w:ascii="Times New Roman" w:hAnsi="Times New Roman"/>
          <w:sz w:val="28"/>
          <w:szCs w:val="28"/>
        </w:rPr>
        <w:t>Про основні засади державного нагляду (контролю) у сфері господарської діяльності</w:t>
      </w:r>
      <w:r>
        <w:rPr>
          <w:rFonts w:ascii="Times New Roman" w:eastAsia="Times New Roman" w:hAnsi="Times New Roman"/>
          <w:sz w:val="28"/>
          <w:szCs w:val="28"/>
          <w:lang w:eastAsia="ru-RU"/>
        </w:rPr>
        <w:t>»</w:t>
      </w:r>
      <w:r w:rsidR="008B6859">
        <w:rPr>
          <w:rFonts w:ascii="Times New Roman" w:eastAsia="Times New Roman" w:hAnsi="Times New Roman"/>
          <w:sz w:val="28"/>
          <w:szCs w:val="28"/>
          <w:lang w:eastAsia="ru-RU"/>
        </w:rPr>
        <w:t xml:space="preserve"> та «Про охорону праці»</w:t>
      </w:r>
      <w:r>
        <w:rPr>
          <w:rFonts w:ascii="Times New Roman" w:eastAsia="Times New Roman" w:hAnsi="Times New Roman"/>
          <w:sz w:val="28"/>
          <w:szCs w:val="28"/>
          <w:lang w:eastAsia="ru-RU"/>
        </w:rPr>
        <w:t>;</w:t>
      </w:r>
      <w:bookmarkEnd w:id="7"/>
    </w:p>
    <w:p w:rsidR="00410FC7" w:rsidRDefault="00410FC7" w:rsidP="00410FC7">
      <w:pPr>
        <w:pStyle w:val="a3"/>
        <w:widowControl w:val="0"/>
        <w:numPr>
          <w:ilvl w:val="0"/>
          <w:numId w:val="4"/>
        </w:numPr>
        <w:tabs>
          <w:tab w:val="left" w:pos="1134"/>
        </w:tabs>
        <w:spacing w:after="6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приведення регуляторного поля (в частині підзаконних актів) у відповідність до вимог </w:t>
      </w:r>
      <w:r w:rsidR="008B6859">
        <w:rPr>
          <w:rFonts w:ascii="Times New Roman" w:eastAsia="Times New Roman" w:hAnsi="Times New Roman"/>
          <w:sz w:val="28"/>
          <w:szCs w:val="28"/>
          <w:lang w:eastAsia="ru-RU"/>
        </w:rPr>
        <w:t>законів України «</w:t>
      </w:r>
      <w:r w:rsidR="008B6859">
        <w:rPr>
          <w:rFonts w:ascii="Times New Roman" w:hAnsi="Times New Roman"/>
          <w:sz w:val="28"/>
          <w:szCs w:val="28"/>
        </w:rPr>
        <w:t>Про основні засади державного нагляду (контролю) у сфері господарської діяльності</w:t>
      </w:r>
      <w:r w:rsidR="008B6859">
        <w:rPr>
          <w:rFonts w:ascii="Times New Roman" w:eastAsia="Times New Roman" w:hAnsi="Times New Roman"/>
          <w:sz w:val="28"/>
          <w:szCs w:val="28"/>
          <w:lang w:eastAsia="ru-RU"/>
        </w:rPr>
        <w:t xml:space="preserve">», «Про охорону праці» </w:t>
      </w:r>
      <w:r w:rsidR="0022099E">
        <w:rPr>
          <w:rFonts w:ascii="Times New Roman" w:eastAsia="Times New Roman" w:hAnsi="Times New Roman"/>
          <w:sz w:val="28"/>
          <w:szCs w:val="28"/>
          <w:lang w:eastAsia="ru-RU"/>
        </w:rPr>
        <w:t>та Конституції України.</w:t>
      </w:r>
    </w:p>
    <w:p w:rsidR="00AD2008" w:rsidRDefault="00AD2008" w:rsidP="00AD2008">
      <w:pPr>
        <w:widowControl w:val="0"/>
        <w:spacing w:after="60" w:line="240" w:lineRule="auto"/>
        <w:ind w:firstLine="709"/>
        <w:jc w:val="both"/>
        <w:rPr>
          <w:rFonts w:ascii="Times New Roman" w:eastAsia="Times New Roman" w:hAnsi="Times New Roman"/>
          <w:sz w:val="28"/>
          <w:szCs w:val="28"/>
          <w:lang w:eastAsia="ru-RU"/>
        </w:rPr>
      </w:pPr>
    </w:p>
    <w:p w:rsidR="00410FC7" w:rsidRDefault="00410FC7" w:rsidP="00410FC7">
      <w:pPr>
        <w:widowControl w:val="0"/>
        <w:spacing w:after="60" w:line="240" w:lineRule="auto"/>
        <w:jc w:val="both"/>
        <w:rPr>
          <w:rFonts w:ascii="Times New Roman" w:eastAsia="Times New Roman" w:hAnsi="Times New Roman"/>
          <w:sz w:val="28"/>
          <w:szCs w:val="28"/>
          <w:lang w:eastAsia="ru-RU"/>
        </w:rPr>
      </w:pPr>
    </w:p>
    <w:tbl>
      <w:tblPr>
        <w:tblStyle w:val="a5"/>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415"/>
      </w:tblGrid>
      <w:tr w:rsidR="00410FC7" w:rsidTr="00410FC7">
        <w:tc>
          <w:tcPr>
            <w:tcW w:w="7083" w:type="dxa"/>
            <w:hideMark/>
          </w:tcPr>
          <w:p w:rsidR="00410FC7" w:rsidRPr="00410FC7" w:rsidRDefault="00410FC7">
            <w:pPr>
              <w:widowControl w:val="0"/>
              <w:spacing w:after="60" w:line="240" w:lineRule="auto"/>
              <w:rPr>
                <w:rFonts w:ascii="Times New Roman" w:eastAsia="Times New Roman" w:hAnsi="Times New Roman"/>
                <w:sz w:val="28"/>
                <w:szCs w:val="28"/>
                <w:lang w:val="uk-UA" w:eastAsia="ru-RU"/>
              </w:rPr>
            </w:pPr>
            <w:r w:rsidRPr="00410FC7">
              <w:rPr>
                <w:rFonts w:ascii="Times New Roman" w:eastAsia="Times New Roman" w:hAnsi="Times New Roman"/>
                <w:b/>
                <w:sz w:val="28"/>
                <w:szCs w:val="28"/>
                <w:lang w:val="uk-UA" w:eastAsia="uk-UA"/>
              </w:rPr>
              <w:t xml:space="preserve">Перший Віце-прем’єр-міністр України – </w:t>
            </w:r>
            <w:r w:rsidRPr="00410FC7">
              <w:rPr>
                <w:rFonts w:ascii="Times New Roman" w:eastAsia="Times New Roman" w:hAnsi="Times New Roman"/>
                <w:b/>
                <w:sz w:val="28"/>
                <w:szCs w:val="28"/>
                <w:lang w:val="uk-UA" w:eastAsia="uk-UA"/>
              </w:rPr>
              <w:br/>
              <w:t xml:space="preserve">Міністр економічного </w:t>
            </w:r>
            <w:r w:rsidRPr="00410FC7">
              <w:rPr>
                <w:rFonts w:ascii="Times New Roman" w:eastAsia="Times New Roman" w:hAnsi="Times New Roman"/>
                <w:b/>
                <w:sz w:val="28"/>
                <w:szCs w:val="28"/>
                <w:lang w:val="uk-UA" w:eastAsia="uk-UA"/>
              </w:rPr>
              <w:br/>
              <w:t>розвитку і торгівлі України</w:t>
            </w:r>
          </w:p>
        </w:tc>
        <w:tc>
          <w:tcPr>
            <w:tcW w:w="2415" w:type="dxa"/>
            <w:vAlign w:val="bottom"/>
            <w:hideMark/>
          </w:tcPr>
          <w:p w:rsidR="00410FC7" w:rsidRDefault="00410FC7">
            <w:pPr>
              <w:widowControl w:val="0"/>
              <w:spacing w:after="60" w:line="240" w:lineRule="auto"/>
              <w:jc w:val="right"/>
              <w:rPr>
                <w:rFonts w:ascii="Times New Roman" w:eastAsia="Times New Roman" w:hAnsi="Times New Roman"/>
                <w:sz w:val="28"/>
                <w:szCs w:val="28"/>
                <w:lang w:eastAsia="ru-RU"/>
              </w:rPr>
            </w:pPr>
            <w:r>
              <w:rPr>
                <w:rFonts w:ascii="Times New Roman" w:eastAsia="Times New Roman" w:hAnsi="Times New Roman"/>
                <w:b/>
                <w:sz w:val="28"/>
                <w:szCs w:val="28"/>
                <w:lang w:eastAsia="uk-UA"/>
              </w:rPr>
              <w:t>Степан Кубів</w:t>
            </w:r>
          </w:p>
        </w:tc>
      </w:tr>
    </w:tbl>
    <w:p w:rsidR="00410FC7" w:rsidRDefault="00410FC7" w:rsidP="00410FC7">
      <w:pPr>
        <w:widowControl w:val="0"/>
        <w:spacing w:after="60" w:line="240" w:lineRule="auto"/>
        <w:ind w:right="-2"/>
        <w:rPr>
          <w:rFonts w:ascii="Times New Roman" w:hAnsi="Times New Roman"/>
          <w:sz w:val="28"/>
          <w:szCs w:val="28"/>
        </w:rPr>
      </w:pPr>
    </w:p>
    <w:p w:rsidR="00BC51BF" w:rsidRDefault="00BC51BF"/>
    <w:p w:rsidR="00BC51BF" w:rsidRDefault="00BC51BF"/>
    <w:sectPr w:rsidR="00BC51B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081" w:rsidRDefault="00EF7081" w:rsidP="00F55BFE">
      <w:pPr>
        <w:spacing w:after="0" w:line="240" w:lineRule="auto"/>
      </w:pPr>
      <w:r>
        <w:separator/>
      </w:r>
    </w:p>
  </w:endnote>
  <w:endnote w:type="continuationSeparator" w:id="0">
    <w:p w:rsidR="00EF7081" w:rsidRDefault="00EF7081" w:rsidP="00F5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081" w:rsidRDefault="00EF7081" w:rsidP="00F55BFE">
      <w:pPr>
        <w:spacing w:after="0" w:line="240" w:lineRule="auto"/>
      </w:pPr>
      <w:r>
        <w:separator/>
      </w:r>
    </w:p>
  </w:footnote>
  <w:footnote w:type="continuationSeparator" w:id="0">
    <w:p w:rsidR="00EF7081" w:rsidRDefault="00EF7081" w:rsidP="00F55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544AA"/>
    <w:multiLevelType w:val="hybridMultilevel"/>
    <w:tmpl w:val="93DA93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43101213"/>
    <w:multiLevelType w:val="hybridMultilevel"/>
    <w:tmpl w:val="8A36A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4D5045E3"/>
    <w:multiLevelType w:val="hybridMultilevel"/>
    <w:tmpl w:val="93FA6BC4"/>
    <w:lvl w:ilvl="0" w:tplc="0422000F">
      <w:start w:val="1"/>
      <w:numFmt w:val="decimal"/>
      <w:lvlText w:val="%1."/>
      <w:lvlJc w:val="left"/>
      <w:pPr>
        <w:ind w:left="1037" w:hanging="360"/>
      </w:pPr>
    </w:lvl>
    <w:lvl w:ilvl="1" w:tplc="04220019">
      <w:start w:val="1"/>
      <w:numFmt w:val="lowerLetter"/>
      <w:lvlText w:val="%2."/>
      <w:lvlJc w:val="left"/>
      <w:pPr>
        <w:ind w:left="1757" w:hanging="360"/>
      </w:pPr>
    </w:lvl>
    <w:lvl w:ilvl="2" w:tplc="0422001B">
      <w:start w:val="1"/>
      <w:numFmt w:val="lowerRoman"/>
      <w:lvlText w:val="%3."/>
      <w:lvlJc w:val="right"/>
      <w:pPr>
        <w:ind w:left="2477" w:hanging="180"/>
      </w:pPr>
    </w:lvl>
    <w:lvl w:ilvl="3" w:tplc="0422000F">
      <w:start w:val="1"/>
      <w:numFmt w:val="decimal"/>
      <w:lvlText w:val="%4."/>
      <w:lvlJc w:val="left"/>
      <w:pPr>
        <w:ind w:left="3197" w:hanging="360"/>
      </w:pPr>
    </w:lvl>
    <w:lvl w:ilvl="4" w:tplc="04220019">
      <w:start w:val="1"/>
      <w:numFmt w:val="lowerLetter"/>
      <w:lvlText w:val="%5."/>
      <w:lvlJc w:val="left"/>
      <w:pPr>
        <w:ind w:left="3917" w:hanging="360"/>
      </w:pPr>
    </w:lvl>
    <w:lvl w:ilvl="5" w:tplc="0422001B">
      <w:start w:val="1"/>
      <w:numFmt w:val="lowerRoman"/>
      <w:lvlText w:val="%6."/>
      <w:lvlJc w:val="right"/>
      <w:pPr>
        <w:ind w:left="4637" w:hanging="180"/>
      </w:pPr>
    </w:lvl>
    <w:lvl w:ilvl="6" w:tplc="0422000F">
      <w:start w:val="1"/>
      <w:numFmt w:val="decimal"/>
      <w:lvlText w:val="%7."/>
      <w:lvlJc w:val="left"/>
      <w:pPr>
        <w:ind w:left="5357" w:hanging="360"/>
      </w:pPr>
    </w:lvl>
    <w:lvl w:ilvl="7" w:tplc="04220019">
      <w:start w:val="1"/>
      <w:numFmt w:val="lowerLetter"/>
      <w:lvlText w:val="%8."/>
      <w:lvlJc w:val="left"/>
      <w:pPr>
        <w:ind w:left="6077" w:hanging="360"/>
      </w:pPr>
    </w:lvl>
    <w:lvl w:ilvl="8" w:tplc="0422001B">
      <w:start w:val="1"/>
      <w:numFmt w:val="lowerRoman"/>
      <w:lvlText w:val="%9."/>
      <w:lvlJc w:val="right"/>
      <w:pPr>
        <w:ind w:left="6797" w:hanging="180"/>
      </w:pPr>
    </w:lvl>
  </w:abstractNum>
  <w:abstractNum w:abstractNumId="3" w15:restartNumberingAfterBreak="0">
    <w:nsid w:val="52C770CC"/>
    <w:multiLevelType w:val="hybridMultilevel"/>
    <w:tmpl w:val="93DA93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79977BAD"/>
    <w:multiLevelType w:val="hybridMultilevel"/>
    <w:tmpl w:val="B838D53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7AF96899"/>
    <w:multiLevelType w:val="hybridMultilevel"/>
    <w:tmpl w:val="8A36A8D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A3"/>
    <w:rsid w:val="000D5179"/>
    <w:rsid w:val="00110D04"/>
    <w:rsid w:val="00142E15"/>
    <w:rsid w:val="00191F88"/>
    <w:rsid w:val="001D55EB"/>
    <w:rsid w:val="001E4EC7"/>
    <w:rsid w:val="0022099E"/>
    <w:rsid w:val="002768F6"/>
    <w:rsid w:val="002A34E3"/>
    <w:rsid w:val="002C38AE"/>
    <w:rsid w:val="0030574B"/>
    <w:rsid w:val="003E47A2"/>
    <w:rsid w:val="00410FC7"/>
    <w:rsid w:val="004443C2"/>
    <w:rsid w:val="004736BD"/>
    <w:rsid w:val="004934B0"/>
    <w:rsid w:val="004A4A86"/>
    <w:rsid w:val="004E71D1"/>
    <w:rsid w:val="00504346"/>
    <w:rsid w:val="00582C7B"/>
    <w:rsid w:val="005D1B9D"/>
    <w:rsid w:val="006A7ADE"/>
    <w:rsid w:val="007258B0"/>
    <w:rsid w:val="007B262C"/>
    <w:rsid w:val="008B6859"/>
    <w:rsid w:val="009A32B5"/>
    <w:rsid w:val="009A7701"/>
    <w:rsid w:val="00A01DEF"/>
    <w:rsid w:val="00A15C29"/>
    <w:rsid w:val="00A37826"/>
    <w:rsid w:val="00A45AC5"/>
    <w:rsid w:val="00AA22AB"/>
    <w:rsid w:val="00AD0A68"/>
    <w:rsid w:val="00AD2008"/>
    <w:rsid w:val="00AF1B50"/>
    <w:rsid w:val="00B13D44"/>
    <w:rsid w:val="00B22B35"/>
    <w:rsid w:val="00BC51BF"/>
    <w:rsid w:val="00BD445E"/>
    <w:rsid w:val="00BE061C"/>
    <w:rsid w:val="00C20CFA"/>
    <w:rsid w:val="00C25FD1"/>
    <w:rsid w:val="00C710C4"/>
    <w:rsid w:val="00CA67D9"/>
    <w:rsid w:val="00D30669"/>
    <w:rsid w:val="00DC6EAB"/>
    <w:rsid w:val="00E14B5B"/>
    <w:rsid w:val="00E34FD0"/>
    <w:rsid w:val="00E52DC3"/>
    <w:rsid w:val="00EC11CB"/>
    <w:rsid w:val="00EC18F4"/>
    <w:rsid w:val="00ED08A3"/>
    <w:rsid w:val="00ED40CB"/>
    <w:rsid w:val="00EF7081"/>
    <w:rsid w:val="00F057B6"/>
    <w:rsid w:val="00F55BFE"/>
    <w:rsid w:val="00FA6780"/>
    <w:rsid w:val="00FD6B52"/>
    <w:rsid w:val="00FE3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C7C9"/>
  <w15:chartTrackingRefBased/>
  <w15:docId w15:val="{C5C2A798-50E4-4E8B-9E0B-D85F35F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78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410FC7"/>
    <w:pPr>
      <w:spacing w:after="120" w:line="480" w:lineRule="auto"/>
    </w:pPr>
    <w:rPr>
      <w:rFonts w:ascii="Times New Roman" w:eastAsia="Times New Roman" w:hAnsi="Times New Roman"/>
      <w:sz w:val="24"/>
      <w:szCs w:val="24"/>
      <w:lang w:val="ru-RU" w:eastAsia="ru-RU"/>
    </w:rPr>
  </w:style>
  <w:style w:type="character" w:customStyle="1" w:styleId="20">
    <w:name w:val="Основной текст 2 Знак"/>
    <w:basedOn w:val="a0"/>
    <w:link w:val="2"/>
    <w:semiHidden/>
    <w:rsid w:val="00410FC7"/>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410FC7"/>
    <w:pPr>
      <w:ind w:left="720"/>
      <w:contextualSpacing/>
    </w:pPr>
  </w:style>
  <w:style w:type="paragraph" w:customStyle="1" w:styleId="a4">
    <w:name w:val="Нормальний текст"/>
    <w:basedOn w:val="a"/>
    <w:uiPriority w:val="99"/>
    <w:rsid w:val="00410FC7"/>
    <w:pPr>
      <w:spacing w:before="120" w:after="0" w:line="240" w:lineRule="auto"/>
      <w:ind w:firstLine="567"/>
    </w:pPr>
    <w:rPr>
      <w:rFonts w:ascii="Antiqua" w:eastAsia="Times New Roman" w:hAnsi="Antiqua" w:cs="Antiqua"/>
      <w:sz w:val="26"/>
      <w:szCs w:val="26"/>
      <w:lang w:eastAsia="ru-RU"/>
    </w:rPr>
  </w:style>
  <w:style w:type="table" w:styleId="a5">
    <w:name w:val="Table Grid"/>
    <w:basedOn w:val="a1"/>
    <w:uiPriority w:val="59"/>
    <w:rsid w:val="00410FC7"/>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5BF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5BFE"/>
    <w:rPr>
      <w:rFonts w:ascii="Calibri" w:eastAsia="Calibri" w:hAnsi="Calibri" w:cs="Times New Roman"/>
    </w:rPr>
  </w:style>
  <w:style w:type="paragraph" w:styleId="a8">
    <w:name w:val="footer"/>
    <w:basedOn w:val="a"/>
    <w:link w:val="a9"/>
    <w:uiPriority w:val="99"/>
    <w:unhideWhenUsed/>
    <w:rsid w:val="00F55BF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5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7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25B7-6D3B-4787-BE2F-6252C68F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9774</Words>
  <Characters>5572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Siriak</dc:creator>
  <cp:keywords/>
  <dc:description/>
  <cp:lastModifiedBy>Valentyna Siriak</cp:lastModifiedBy>
  <cp:revision>38</cp:revision>
  <dcterms:created xsi:type="dcterms:W3CDTF">2017-10-25T15:02:00Z</dcterms:created>
  <dcterms:modified xsi:type="dcterms:W3CDTF">2018-02-05T09:26:00Z</dcterms:modified>
</cp:coreProperties>
</file>