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BD" w:rsidRDefault="002825BD" w:rsidP="002825BD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2825BD" w:rsidRDefault="002825BD" w:rsidP="002825BD">
      <w:pPr>
        <w:ind w:firstLine="36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  <w:lang w:val="uk-UA"/>
        </w:rPr>
        <w:t xml:space="preserve">проекту постанови Кабінету Міністрів України </w:t>
      </w:r>
    </w:p>
    <w:p w:rsidR="002825BD" w:rsidRDefault="002825BD" w:rsidP="002825BD">
      <w:pPr>
        <w:ind w:firstLine="36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"</w:t>
      </w:r>
      <w:r w:rsidRPr="002825BD">
        <w:rPr>
          <w:bCs/>
          <w:sz w:val="28"/>
          <w:szCs w:val="28"/>
          <w:lang w:val="uk-UA"/>
        </w:rPr>
        <w:t>Про внесення змін до Правил оформлення віз для в’їзду в Україну і транзитного проїзду через її територію</w:t>
      </w:r>
      <w:r>
        <w:rPr>
          <w:bCs/>
          <w:sz w:val="28"/>
          <w:szCs w:val="28"/>
          <w:lang w:val="uk-UA"/>
        </w:rPr>
        <w:t>"</w:t>
      </w:r>
    </w:p>
    <w:p w:rsidR="002825BD" w:rsidRDefault="002825BD" w:rsidP="002825BD">
      <w:pPr>
        <w:spacing w:line="312" w:lineRule="auto"/>
        <w:ind w:firstLine="360"/>
        <w:jc w:val="both"/>
        <w:rPr>
          <w:sz w:val="28"/>
          <w:szCs w:val="28"/>
          <w:lang w:val="uk-UA"/>
        </w:rPr>
      </w:pPr>
    </w:p>
    <w:p w:rsidR="002825BD" w:rsidRDefault="002825BD" w:rsidP="002825BD">
      <w:pPr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Обґрунтування необхідності прийняття постанови</w:t>
      </w:r>
    </w:p>
    <w:p w:rsidR="001A2DFE" w:rsidRDefault="002825BD" w:rsidP="001A2DFE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A2DFE">
        <w:rPr>
          <w:sz w:val="28"/>
          <w:szCs w:val="28"/>
          <w:lang w:val="uk-UA"/>
        </w:rPr>
        <w:t xml:space="preserve">Закону </w:t>
      </w:r>
      <w:r w:rsidR="001A2DFE">
        <w:rPr>
          <w:sz w:val="28"/>
          <w:szCs w:val="28"/>
          <w:lang w:val="uk-UA"/>
        </w:rPr>
        <w:t>«</w:t>
      </w:r>
      <w:r w:rsidR="001A2DFE" w:rsidRPr="002825BD">
        <w:rPr>
          <w:sz w:val="28"/>
          <w:szCs w:val="28"/>
          <w:lang w:val="uk-UA"/>
        </w:rPr>
        <w:t>Про правовий статус іноземців та осіб без громадянства</w:t>
      </w:r>
      <w:r w:rsidR="001A2DFE">
        <w:rPr>
          <w:sz w:val="28"/>
          <w:szCs w:val="28"/>
          <w:lang w:val="uk-UA"/>
        </w:rPr>
        <w:t>»</w:t>
      </w:r>
      <w:r w:rsidR="001A2DFE">
        <w:rPr>
          <w:sz w:val="28"/>
          <w:szCs w:val="28"/>
          <w:lang w:val="uk-UA"/>
        </w:rPr>
        <w:t xml:space="preserve"> (далі – Закон) </w:t>
      </w:r>
      <w:r w:rsidR="001A2DFE" w:rsidRPr="001A2DFE">
        <w:rPr>
          <w:sz w:val="28"/>
          <w:szCs w:val="28"/>
          <w:lang w:val="uk-UA"/>
        </w:rPr>
        <w:t xml:space="preserve">посвідка на тимчасове проживання </w:t>
      </w:r>
      <w:r w:rsidR="001A2DFE">
        <w:rPr>
          <w:sz w:val="28"/>
          <w:szCs w:val="28"/>
          <w:lang w:val="uk-UA"/>
        </w:rPr>
        <w:t xml:space="preserve">(далі – посвідка) є документом, що </w:t>
      </w:r>
      <w:r w:rsidR="001A2DFE" w:rsidRPr="001A2DFE">
        <w:rPr>
          <w:sz w:val="28"/>
          <w:szCs w:val="28"/>
          <w:lang w:val="uk-UA"/>
        </w:rPr>
        <w:t>підтверджує законні підстави для тимчасового проживання в Україні</w:t>
      </w:r>
      <w:r w:rsidR="001A2DFE">
        <w:rPr>
          <w:sz w:val="28"/>
          <w:szCs w:val="28"/>
          <w:lang w:val="uk-UA"/>
        </w:rPr>
        <w:t xml:space="preserve"> іноземців чи осіб без громадянства (далі – іноземці) (пункт 18 частини першої статті 1). </w:t>
      </w:r>
    </w:p>
    <w:p w:rsidR="002825BD" w:rsidRDefault="001A2DFE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для видачі посвідок встановлені статтями 4 та 5 Закону. При цьому, згідно з частиною першою</w:t>
      </w:r>
      <w:r w:rsidR="002825BD">
        <w:rPr>
          <w:sz w:val="28"/>
          <w:szCs w:val="28"/>
          <w:lang w:val="uk-UA"/>
        </w:rPr>
        <w:t xml:space="preserve"> статті 5</w:t>
      </w:r>
      <w:r w:rsidR="002825BD" w:rsidRPr="002825BD">
        <w:rPr>
          <w:sz w:val="28"/>
          <w:szCs w:val="28"/>
          <w:vertAlign w:val="superscript"/>
          <w:lang w:val="uk-UA"/>
        </w:rPr>
        <w:t>2</w:t>
      </w:r>
      <w:r w:rsidR="002825BD">
        <w:rPr>
          <w:sz w:val="28"/>
          <w:szCs w:val="28"/>
          <w:lang w:val="uk-UA"/>
        </w:rPr>
        <w:t xml:space="preserve"> Закону «</w:t>
      </w:r>
      <w:r w:rsidR="002825BD" w:rsidRPr="002825BD">
        <w:rPr>
          <w:sz w:val="28"/>
          <w:szCs w:val="28"/>
          <w:lang w:val="uk-UA"/>
        </w:rPr>
        <w:t>Іноземці та особи без громадянства зобов’язані отримати довгострокову візу з метою отримання посвідки на тимчасове проживання в Україні, якщо інше не встановлено законами чи міжнародними договорами України</w:t>
      </w:r>
      <w:r w:rsidR="002825BD">
        <w:rPr>
          <w:sz w:val="28"/>
          <w:szCs w:val="28"/>
          <w:lang w:val="uk-UA"/>
        </w:rPr>
        <w:t>».</w:t>
      </w:r>
    </w:p>
    <w:p w:rsidR="001A2DFE" w:rsidRDefault="001A2DFE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Тобто, для отримання в Україні посвідки іноземці зобов’язані отримати довгострокову візу. </w:t>
      </w:r>
    </w:p>
    <w:p w:rsidR="001A2DFE" w:rsidRDefault="001A2DFE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отримати довгострокову візу іноземець може лише за кордоном, що передбачено пунктом 4 </w:t>
      </w:r>
      <w:r w:rsidRPr="001A2DFE">
        <w:rPr>
          <w:sz w:val="28"/>
          <w:szCs w:val="28"/>
          <w:lang w:val="uk-UA"/>
        </w:rPr>
        <w:t>Правил оформлення віз для в’їзду в Україну і транзитного проїзду через її територію</w:t>
      </w:r>
      <w:r>
        <w:rPr>
          <w:sz w:val="28"/>
          <w:szCs w:val="28"/>
          <w:lang w:val="uk-UA"/>
        </w:rPr>
        <w:t xml:space="preserve"> довгострокові, що затверджені постановою Кабінету Міністрів України </w:t>
      </w:r>
      <w:r w:rsidRPr="001A2DFE">
        <w:rPr>
          <w:sz w:val="28"/>
          <w:szCs w:val="28"/>
          <w:lang w:val="uk-UA"/>
        </w:rPr>
        <w:t>від 1 березня 2017 р. № 118</w:t>
      </w:r>
      <w:r>
        <w:rPr>
          <w:sz w:val="28"/>
          <w:szCs w:val="28"/>
          <w:lang w:val="uk-UA"/>
        </w:rPr>
        <w:t>, - «</w:t>
      </w:r>
      <w:r w:rsidRPr="001A2DFE">
        <w:rPr>
          <w:sz w:val="28"/>
          <w:szCs w:val="28"/>
          <w:lang w:val="uk-UA"/>
        </w:rPr>
        <w:t>Довгострокова віза оформляється закордонною дипломатичною установою України як багаторазова на 90 днів, якщо інше не передбачено законодавством чи міжнародними договорами України.</w:t>
      </w:r>
      <w:r>
        <w:rPr>
          <w:sz w:val="28"/>
          <w:szCs w:val="28"/>
          <w:lang w:val="uk-UA"/>
        </w:rPr>
        <w:t xml:space="preserve">».  </w:t>
      </w:r>
    </w:p>
    <w:p w:rsidR="001A2DFE" w:rsidRDefault="001A2DFE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вищевикладеного, якщо іноземець приїхав в Україну </w:t>
      </w:r>
      <w:r w:rsidR="003D1663">
        <w:rPr>
          <w:sz w:val="28"/>
          <w:szCs w:val="28"/>
          <w:lang w:val="uk-UA"/>
        </w:rPr>
        <w:t>без довгострокової візи та оформив документи, що є підставою для отримання посвідки (наприклад, дозвіл на працевлаштування), він вимушений після цього: залишити територію України, оформити за кордоном довгострокову візу і лише після цього подавати документи для отримання посвідки.</w:t>
      </w:r>
    </w:p>
    <w:p w:rsidR="002825BD" w:rsidRDefault="003D1663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уникнення такої вимоги, як описана вище, пропонується забезпечити</w:t>
      </w:r>
      <w:r w:rsidRPr="003D1663">
        <w:rPr>
          <w:sz w:val="28"/>
          <w:szCs w:val="28"/>
          <w:lang w:val="uk-UA"/>
        </w:rPr>
        <w:t xml:space="preserve"> можлив</w:t>
      </w:r>
      <w:r>
        <w:rPr>
          <w:sz w:val="28"/>
          <w:szCs w:val="28"/>
          <w:lang w:val="uk-UA"/>
        </w:rPr>
        <w:t>і</w:t>
      </w:r>
      <w:r w:rsidRPr="003D166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3D1663">
        <w:rPr>
          <w:sz w:val="28"/>
          <w:szCs w:val="28"/>
          <w:lang w:val="uk-UA"/>
        </w:rPr>
        <w:t xml:space="preserve"> оформлення довгострокових віз іноземцям на території України</w:t>
      </w:r>
      <w:r>
        <w:rPr>
          <w:sz w:val="28"/>
          <w:szCs w:val="28"/>
          <w:lang w:val="uk-UA"/>
        </w:rPr>
        <w:t xml:space="preserve">. </w:t>
      </w:r>
      <w:r w:rsidR="002825BD">
        <w:rPr>
          <w:sz w:val="28"/>
          <w:szCs w:val="28"/>
          <w:lang w:val="uk-UA"/>
        </w:rPr>
        <w:t>У зв’язку з цим, проектом постанови вносяться відповідні зміни.</w:t>
      </w:r>
    </w:p>
    <w:p w:rsidR="002825BD" w:rsidRDefault="002825BD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</w:p>
    <w:p w:rsidR="002825BD" w:rsidRDefault="002825BD" w:rsidP="002825BD">
      <w:pPr>
        <w:widowControl w:val="0"/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</w:p>
    <w:p w:rsidR="002825BD" w:rsidRDefault="002825BD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прийняття проекту постанови є </w:t>
      </w:r>
      <w:r w:rsidR="003D1663">
        <w:rPr>
          <w:sz w:val="28"/>
          <w:szCs w:val="28"/>
          <w:lang w:val="uk-UA"/>
        </w:rPr>
        <w:t>забезпечити</w:t>
      </w:r>
      <w:r w:rsidR="003D1663" w:rsidRPr="003D1663">
        <w:rPr>
          <w:sz w:val="28"/>
          <w:szCs w:val="28"/>
          <w:lang w:val="uk-UA"/>
        </w:rPr>
        <w:t xml:space="preserve"> можлив</w:t>
      </w:r>
      <w:r w:rsidR="003D1663">
        <w:rPr>
          <w:sz w:val="28"/>
          <w:szCs w:val="28"/>
          <w:lang w:val="uk-UA"/>
        </w:rPr>
        <w:t>і</w:t>
      </w:r>
      <w:r w:rsidR="003D1663" w:rsidRPr="003D1663">
        <w:rPr>
          <w:sz w:val="28"/>
          <w:szCs w:val="28"/>
          <w:lang w:val="uk-UA"/>
        </w:rPr>
        <w:t>ст</w:t>
      </w:r>
      <w:r w:rsidR="003D1663">
        <w:rPr>
          <w:sz w:val="28"/>
          <w:szCs w:val="28"/>
          <w:lang w:val="uk-UA"/>
        </w:rPr>
        <w:t>ь</w:t>
      </w:r>
      <w:r w:rsidR="003D1663" w:rsidRPr="003D1663">
        <w:rPr>
          <w:sz w:val="28"/>
          <w:szCs w:val="28"/>
          <w:lang w:val="uk-UA"/>
        </w:rPr>
        <w:t xml:space="preserve"> оформлення довгострокових віз іноземцям </w:t>
      </w:r>
      <w:r w:rsidR="003D1663">
        <w:rPr>
          <w:sz w:val="28"/>
          <w:szCs w:val="28"/>
          <w:lang w:val="uk-UA"/>
        </w:rPr>
        <w:t xml:space="preserve">та особам без громадянства </w:t>
      </w:r>
      <w:r w:rsidR="003D1663" w:rsidRPr="003D1663">
        <w:rPr>
          <w:sz w:val="28"/>
          <w:szCs w:val="28"/>
          <w:lang w:val="uk-UA"/>
        </w:rPr>
        <w:t xml:space="preserve">на </w:t>
      </w:r>
      <w:r w:rsidR="003D1663" w:rsidRPr="003D1663">
        <w:rPr>
          <w:sz w:val="28"/>
          <w:szCs w:val="28"/>
          <w:lang w:val="uk-UA"/>
        </w:rPr>
        <w:lastRenderedPageBreak/>
        <w:t>території України</w:t>
      </w:r>
      <w:r>
        <w:rPr>
          <w:sz w:val="28"/>
          <w:szCs w:val="28"/>
          <w:lang w:val="uk-UA"/>
        </w:rPr>
        <w:t xml:space="preserve">. </w:t>
      </w:r>
    </w:p>
    <w:p w:rsidR="002825BD" w:rsidRDefault="002825BD" w:rsidP="002825BD">
      <w:pPr>
        <w:widowControl w:val="0"/>
        <w:spacing w:line="312" w:lineRule="auto"/>
        <w:ind w:firstLine="708"/>
        <w:jc w:val="both"/>
        <w:rPr>
          <w:sz w:val="22"/>
          <w:szCs w:val="22"/>
          <w:lang w:val="uk-UA"/>
        </w:rPr>
      </w:pPr>
    </w:p>
    <w:p w:rsidR="002825BD" w:rsidRDefault="002825BD" w:rsidP="002825BD">
      <w:pPr>
        <w:widowControl w:val="0"/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Правові аспекти</w:t>
      </w:r>
    </w:p>
    <w:p w:rsidR="00AE14D0" w:rsidRPr="002A5FBA" w:rsidRDefault="00AE14D0" w:rsidP="00AE14D0">
      <w:pPr>
        <w:spacing w:line="272" w:lineRule="auto"/>
        <w:ind w:left="14" w:firstLine="706"/>
        <w:jc w:val="both"/>
        <w:rPr>
          <w:color w:val="000000"/>
          <w:sz w:val="28"/>
          <w:szCs w:val="28"/>
          <w:lang w:val="uk-UA"/>
        </w:rPr>
      </w:pPr>
      <w:r w:rsidRPr="002A5FBA">
        <w:rPr>
          <w:color w:val="000000"/>
          <w:spacing w:val="-6"/>
          <w:sz w:val="28"/>
          <w:szCs w:val="28"/>
          <w:lang w:val="uk-UA"/>
        </w:rPr>
        <w:t>Правовою підставою для розроблення проекту постанови є</w:t>
      </w:r>
      <w:r>
        <w:rPr>
          <w:color w:val="000000"/>
          <w:spacing w:val="-6"/>
          <w:sz w:val="28"/>
          <w:szCs w:val="28"/>
          <w:lang w:val="uk-UA"/>
        </w:rPr>
        <w:t xml:space="preserve"> частина першої</w:t>
      </w:r>
      <w:r w:rsidRPr="002A5FBA">
        <w:rPr>
          <w:color w:val="000000"/>
          <w:spacing w:val="-6"/>
          <w:sz w:val="28"/>
          <w:szCs w:val="28"/>
          <w:lang w:val="uk-UA"/>
        </w:rPr>
        <w:t xml:space="preserve"> статт</w:t>
      </w:r>
      <w:r>
        <w:rPr>
          <w:color w:val="000000"/>
          <w:spacing w:val="-6"/>
          <w:sz w:val="28"/>
          <w:szCs w:val="28"/>
          <w:lang w:val="uk-UA"/>
        </w:rPr>
        <w:t>і</w:t>
      </w:r>
      <w:r w:rsidRPr="002A5FBA">
        <w:rPr>
          <w:color w:val="000000"/>
          <w:spacing w:val="-6"/>
          <w:sz w:val="28"/>
          <w:szCs w:val="28"/>
          <w:lang w:val="uk-UA"/>
        </w:rPr>
        <w:t xml:space="preserve"> 1</w:t>
      </w:r>
      <w:r>
        <w:rPr>
          <w:color w:val="000000"/>
          <w:spacing w:val="-6"/>
          <w:sz w:val="28"/>
          <w:szCs w:val="28"/>
          <w:lang w:val="uk-UA"/>
        </w:rPr>
        <w:t>0</w:t>
      </w:r>
      <w:r w:rsidRPr="002A5FBA">
        <w:rPr>
          <w:color w:val="000000"/>
          <w:spacing w:val="-6"/>
          <w:sz w:val="28"/>
          <w:szCs w:val="28"/>
          <w:lang w:val="uk-UA"/>
        </w:rPr>
        <w:t xml:space="preserve"> </w:t>
      </w:r>
      <w:r w:rsidRPr="002A5FBA"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>«</w:t>
      </w:r>
      <w:r w:rsidRPr="00AE14D0">
        <w:rPr>
          <w:sz w:val="28"/>
          <w:szCs w:val="28"/>
          <w:lang w:val="uk-UA"/>
        </w:rPr>
        <w:t>Про правовий статус іноземців та осіб без громадянства</w:t>
      </w:r>
      <w:r>
        <w:rPr>
          <w:sz w:val="28"/>
          <w:szCs w:val="28"/>
          <w:lang w:val="uk-UA"/>
        </w:rPr>
        <w:t>», якою передбачено, що «</w:t>
      </w:r>
      <w:r w:rsidRPr="00AE14D0">
        <w:rPr>
          <w:sz w:val="28"/>
          <w:szCs w:val="28"/>
          <w:lang w:val="uk-UA"/>
        </w:rPr>
        <w:t>Правила оформлення іноземцям та особам без громадянства візи та перелік документів, необхідних для її отримання, встановлюються Кабінетом Міністрів України</w:t>
      </w:r>
      <w:r>
        <w:rPr>
          <w:sz w:val="28"/>
          <w:szCs w:val="28"/>
          <w:lang w:val="uk-UA"/>
        </w:rPr>
        <w:t>»</w:t>
      </w:r>
      <w:r w:rsidRPr="002A5FBA">
        <w:rPr>
          <w:color w:val="000000"/>
          <w:sz w:val="28"/>
          <w:szCs w:val="28"/>
          <w:lang w:val="uk-UA"/>
        </w:rPr>
        <w:t>.</w:t>
      </w:r>
    </w:p>
    <w:p w:rsidR="00AE14D0" w:rsidRPr="002A5FBA" w:rsidRDefault="00AE14D0" w:rsidP="00AE14D0">
      <w:pPr>
        <w:spacing w:line="272" w:lineRule="auto"/>
        <w:ind w:left="14" w:firstLine="706"/>
        <w:jc w:val="both"/>
        <w:rPr>
          <w:color w:val="000000"/>
          <w:spacing w:val="1"/>
          <w:sz w:val="28"/>
          <w:szCs w:val="28"/>
          <w:lang w:val="uk-UA"/>
        </w:rPr>
      </w:pPr>
      <w:r w:rsidRPr="002A5FBA">
        <w:rPr>
          <w:color w:val="000000"/>
          <w:spacing w:val="-6"/>
          <w:sz w:val="28"/>
          <w:szCs w:val="28"/>
          <w:lang w:val="uk-UA"/>
        </w:rPr>
        <w:t xml:space="preserve">У даній сфері правового регулювання основними нормативно-правовими актами </w:t>
      </w:r>
      <w:r w:rsidRPr="002A5FBA">
        <w:rPr>
          <w:color w:val="000000"/>
          <w:spacing w:val="1"/>
          <w:sz w:val="28"/>
          <w:szCs w:val="28"/>
          <w:lang w:val="uk-UA"/>
        </w:rPr>
        <w:t>є:</w:t>
      </w:r>
    </w:p>
    <w:p w:rsidR="00AE14D0" w:rsidRPr="002A5FBA" w:rsidRDefault="00AE14D0" w:rsidP="00AE14D0">
      <w:pPr>
        <w:spacing w:line="272" w:lineRule="auto"/>
        <w:ind w:left="14" w:firstLine="706"/>
        <w:jc w:val="both"/>
        <w:rPr>
          <w:color w:val="000000"/>
          <w:sz w:val="28"/>
          <w:szCs w:val="28"/>
          <w:lang w:val="uk-UA"/>
        </w:rPr>
      </w:pPr>
      <w:r w:rsidRPr="002A5FBA">
        <w:rPr>
          <w:color w:val="000000"/>
          <w:sz w:val="28"/>
          <w:szCs w:val="28"/>
          <w:lang w:val="uk-UA"/>
        </w:rPr>
        <w:t xml:space="preserve">Закон України від </w:t>
      </w:r>
      <w:r w:rsidRPr="00AE14D0">
        <w:rPr>
          <w:color w:val="000000"/>
          <w:sz w:val="28"/>
          <w:szCs w:val="28"/>
          <w:lang w:val="uk-UA"/>
        </w:rPr>
        <w:t>22.09.2011 № 3773-VI</w:t>
      </w:r>
      <w:r>
        <w:rPr>
          <w:color w:val="000000"/>
          <w:sz w:val="28"/>
          <w:szCs w:val="28"/>
          <w:lang w:val="uk-UA"/>
        </w:rPr>
        <w:t xml:space="preserve"> </w:t>
      </w:r>
      <w:r w:rsidRPr="002A5FBA">
        <w:rPr>
          <w:color w:val="000000"/>
          <w:sz w:val="28"/>
          <w:szCs w:val="28"/>
          <w:lang w:val="uk-UA"/>
        </w:rPr>
        <w:t>“</w:t>
      </w:r>
      <w:r w:rsidRPr="00AE14D0">
        <w:rPr>
          <w:color w:val="000000"/>
          <w:sz w:val="28"/>
          <w:szCs w:val="28"/>
          <w:lang w:val="uk-UA"/>
        </w:rPr>
        <w:t>Про правовий статус іноземців та осіб без громадянства</w:t>
      </w:r>
      <w:r w:rsidRPr="002A5FBA">
        <w:rPr>
          <w:color w:val="000000"/>
          <w:sz w:val="28"/>
          <w:szCs w:val="28"/>
          <w:lang w:val="uk-UA"/>
        </w:rPr>
        <w:t>”;</w:t>
      </w:r>
    </w:p>
    <w:p w:rsidR="00AE14D0" w:rsidRDefault="00AE14D0" w:rsidP="00AE14D0">
      <w:pPr>
        <w:spacing w:line="272" w:lineRule="auto"/>
        <w:ind w:left="14"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Постанова Кабінету Міністрів </w:t>
      </w:r>
      <w:r w:rsidRPr="002A5FBA">
        <w:rPr>
          <w:color w:val="000000"/>
          <w:sz w:val="28"/>
          <w:szCs w:val="28"/>
          <w:lang w:val="uk-UA"/>
        </w:rPr>
        <w:t xml:space="preserve">України від </w:t>
      </w:r>
      <w:r w:rsidRPr="00AE14D0">
        <w:rPr>
          <w:color w:val="000000"/>
          <w:sz w:val="28"/>
          <w:szCs w:val="28"/>
          <w:lang w:val="uk-UA"/>
        </w:rPr>
        <w:t>01.03.2017 № 118</w:t>
      </w:r>
      <w:r>
        <w:rPr>
          <w:color w:val="000000"/>
          <w:sz w:val="28"/>
          <w:szCs w:val="28"/>
          <w:lang w:val="uk-UA"/>
        </w:rPr>
        <w:t xml:space="preserve"> </w:t>
      </w:r>
      <w:r w:rsidRPr="002A5FBA">
        <w:rPr>
          <w:color w:val="000000"/>
          <w:sz w:val="28"/>
          <w:szCs w:val="28"/>
          <w:lang w:val="uk-UA"/>
        </w:rPr>
        <w:t>“</w:t>
      </w:r>
      <w:r w:rsidRPr="00AE14D0">
        <w:rPr>
          <w:color w:val="000000"/>
          <w:sz w:val="28"/>
          <w:szCs w:val="28"/>
          <w:lang w:val="uk-UA"/>
        </w:rPr>
        <w:t>Про затвердження Правил оформлення віз для в’їзду в Україну і транзитного проїзду через її територію</w:t>
      </w:r>
      <w:r w:rsidRPr="002A5FBA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;</w:t>
      </w:r>
    </w:p>
    <w:p w:rsidR="00AE14D0" w:rsidRPr="002A5FBA" w:rsidRDefault="00AE14D0" w:rsidP="00AE14D0">
      <w:pPr>
        <w:spacing w:line="272" w:lineRule="auto"/>
        <w:ind w:left="14" w:firstLine="706"/>
        <w:jc w:val="both"/>
        <w:rPr>
          <w:color w:val="000000"/>
          <w:sz w:val="28"/>
          <w:szCs w:val="28"/>
          <w:lang w:val="uk-UA"/>
        </w:rPr>
      </w:pPr>
      <w:r w:rsidRPr="00AE14D0">
        <w:rPr>
          <w:color w:val="000000"/>
          <w:sz w:val="28"/>
          <w:szCs w:val="28"/>
          <w:lang w:val="uk-UA"/>
        </w:rPr>
        <w:t>Наказ Міністерств</w:t>
      </w:r>
      <w:r>
        <w:rPr>
          <w:color w:val="000000"/>
          <w:sz w:val="28"/>
          <w:szCs w:val="28"/>
          <w:lang w:val="uk-UA"/>
        </w:rPr>
        <w:t>а</w:t>
      </w:r>
      <w:r w:rsidRPr="00AE14D0">
        <w:rPr>
          <w:color w:val="000000"/>
          <w:sz w:val="28"/>
          <w:szCs w:val="28"/>
          <w:lang w:val="uk-UA"/>
        </w:rPr>
        <w:t xml:space="preserve"> закордонних справ України</w:t>
      </w:r>
      <w:r>
        <w:rPr>
          <w:color w:val="000000"/>
          <w:sz w:val="28"/>
          <w:szCs w:val="28"/>
          <w:lang w:val="uk-UA"/>
        </w:rPr>
        <w:t xml:space="preserve"> «</w:t>
      </w:r>
      <w:r w:rsidRPr="00AE14D0">
        <w:rPr>
          <w:color w:val="000000"/>
          <w:sz w:val="28"/>
          <w:szCs w:val="28"/>
          <w:lang w:val="uk-UA"/>
        </w:rPr>
        <w:t>Про затвердження Інструкції про порядок оформлення іноземцям та особам без громадянства віз для в'їзду в Україну і транзитного проїзду через її територію</w:t>
      </w:r>
      <w:r>
        <w:rPr>
          <w:color w:val="000000"/>
          <w:sz w:val="28"/>
          <w:szCs w:val="28"/>
          <w:lang w:val="uk-UA"/>
        </w:rPr>
        <w:t>».</w:t>
      </w:r>
    </w:p>
    <w:p w:rsidR="002825BD" w:rsidRDefault="002825BD" w:rsidP="002825BD">
      <w:pPr>
        <w:widowControl w:val="0"/>
        <w:spacing w:line="312" w:lineRule="auto"/>
        <w:ind w:firstLine="708"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4. Фінансово-економічне обґрунтування</w:t>
      </w:r>
    </w:p>
    <w:p w:rsidR="002825BD" w:rsidRPr="000508A9" w:rsidRDefault="002825BD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Реалізація постанови не потребує додаткового фінансування з Державного бюджету України, а також додаткових матеріальних та інших витрат.</w:t>
      </w:r>
    </w:p>
    <w:p w:rsidR="002825BD" w:rsidRPr="000508A9" w:rsidRDefault="002825BD" w:rsidP="002825BD">
      <w:pPr>
        <w:widowControl w:val="0"/>
        <w:spacing w:line="312" w:lineRule="auto"/>
        <w:ind w:firstLine="360"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5. Позиція заінтересованих органів</w:t>
      </w:r>
    </w:p>
    <w:p w:rsidR="002825BD" w:rsidRPr="000508A9" w:rsidRDefault="002825BD" w:rsidP="002825BD">
      <w:pPr>
        <w:widowControl w:val="0"/>
        <w:spacing w:line="312" w:lineRule="auto"/>
        <w:ind w:right="-79" w:firstLine="709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 xml:space="preserve">Проект постанови потребує погодження з Мінфіном, Мін’юстом, </w:t>
      </w:r>
      <w:proofErr w:type="spellStart"/>
      <w:r w:rsidRPr="000508A9">
        <w:rPr>
          <w:sz w:val="28"/>
          <w:szCs w:val="28"/>
          <w:lang w:val="uk-UA"/>
        </w:rPr>
        <w:t>МЗС</w:t>
      </w:r>
      <w:proofErr w:type="spellEnd"/>
      <w:r w:rsidRPr="000508A9">
        <w:rPr>
          <w:sz w:val="28"/>
          <w:szCs w:val="28"/>
          <w:lang w:val="uk-UA"/>
        </w:rPr>
        <w:t xml:space="preserve">, </w:t>
      </w:r>
      <w:proofErr w:type="spellStart"/>
      <w:r w:rsidRPr="000508A9">
        <w:rPr>
          <w:sz w:val="28"/>
          <w:szCs w:val="28"/>
          <w:lang w:val="uk-UA"/>
        </w:rPr>
        <w:t>ДРС</w:t>
      </w:r>
      <w:proofErr w:type="spellEnd"/>
      <w:r w:rsidRPr="000508A9">
        <w:rPr>
          <w:sz w:val="28"/>
          <w:szCs w:val="28"/>
          <w:lang w:val="uk-UA"/>
        </w:rPr>
        <w:t>.</w:t>
      </w:r>
    </w:p>
    <w:p w:rsidR="002825BD" w:rsidRPr="000508A9" w:rsidRDefault="002825BD" w:rsidP="002825BD">
      <w:pPr>
        <w:widowControl w:val="0"/>
        <w:spacing w:line="312" w:lineRule="auto"/>
        <w:ind w:firstLine="360"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12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6. Регіональний аспект</w:t>
      </w:r>
    </w:p>
    <w:p w:rsidR="002825BD" w:rsidRPr="000508A9" w:rsidRDefault="002825BD" w:rsidP="002825BD">
      <w:pPr>
        <w:widowControl w:val="0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Проект постанови не стосується питань розвитку адміністративно-територіальних одиниць.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6</w:t>
      </w:r>
      <w:r w:rsidRPr="000508A9">
        <w:rPr>
          <w:b/>
          <w:sz w:val="28"/>
          <w:szCs w:val="28"/>
          <w:vertAlign w:val="superscript"/>
          <w:lang w:val="uk-UA"/>
        </w:rPr>
        <w:t>1</w:t>
      </w:r>
      <w:r w:rsidRPr="000508A9">
        <w:rPr>
          <w:b/>
          <w:sz w:val="28"/>
          <w:szCs w:val="28"/>
          <w:lang w:val="uk-UA"/>
        </w:rPr>
        <w:t>. Запобігання дискримінації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 xml:space="preserve">У проекті постанови відсутні положення, які містять ознаки дискримінації. 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Громадська антидискримінаційна експертиза не проводилась.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b/>
          <w:sz w:val="16"/>
          <w:szCs w:val="16"/>
          <w:lang w:val="uk-UA"/>
        </w:rPr>
      </w:pP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7. Запобігання корупції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У проекті постанови відсутні правила і процедури, які можуть містити ризики вчинення корупційних правопорушень.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Громадська антикорупційна експертиза не проводилася.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b/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8. Громадське обговорення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lastRenderedPageBreak/>
        <w:t xml:space="preserve">З метою проведення громадського обговорення проект акта розміщено на офіційному веб-сайті Мінекономрозвитку </w:t>
      </w:r>
      <w:proofErr w:type="spellStart"/>
      <w:r w:rsidRPr="000508A9">
        <w:rPr>
          <w:sz w:val="28"/>
          <w:szCs w:val="28"/>
          <w:lang w:val="uk-UA"/>
        </w:rPr>
        <w:t>www.me.gov.ua</w:t>
      </w:r>
      <w:proofErr w:type="spellEnd"/>
      <w:r w:rsidRPr="000508A9">
        <w:rPr>
          <w:sz w:val="28"/>
          <w:szCs w:val="28"/>
          <w:lang w:val="uk-UA"/>
        </w:rPr>
        <w:t>.</w:t>
      </w:r>
    </w:p>
    <w:p w:rsidR="002825BD" w:rsidRPr="000508A9" w:rsidRDefault="002825BD" w:rsidP="002825BD">
      <w:pPr>
        <w:widowControl w:val="0"/>
        <w:spacing w:line="300" w:lineRule="auto"/>
        <w:ind w:firstLine="360"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b/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9. Позиція соціальних партнерів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Проект постанови не стосується соціально-трудової сфери.</w:t>
      </w:r>
    </w:p>
    <w:p w:rsidR="002825BD" w:rsidRPr="000508A9" w:rsidRDefault="002825BD" w:rsidP="002825BD">
      <w:pPr>
        <w:widowControl w:val="0"/>
        <w:spacing w:line="300" w:lineRule="auto"/>
        <w:ind w:firstLine="360"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b/>
          <w:sz w:val="28"/>
          <w:szCs w:val="28"/>
          <w:lang w:val="uk-UA"/>
        </w:rPr>
        <w:t>10. Оцінка регуляторного впливу</w:t>
      </w:r>
    </w:p>
    <w:p w:rsidR="002825BD" w:rsidRPr="000508A9" w:rsidRDefault="002825BD" w:rsidP="002825BD">
      <w:pPr>
        <w:widowControl w:val="0"/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Проект постанови не є регуляторним актом.</w:t>
      </w:r>
    </w:p>
    <w:p w:rsidR="002825BD" w:rsidRPr="000508A9" w:rsidRDefault="002825BD" w:rsidP="002825BD">
      <w:pPr>
        <w:pStyle w:val="2"/>
        <w:widowControl w:val="0"/>
        <w:tabs>
          <w:tab w:val="left" w:pos="0"/>
        </w:tabs>
        <w:spacing w:after="0" w:line="300" w:lineRule="auto"/>
        <w:contextualSpacing/>
        <w:jc w:val="both"/>
        <w:rPr>
          <w:sz w:val="22"/>
          <w:szCs w:val="22"/>
          <w:lang w:val="uk-UA"/>
        </w:rPr>
      </w:pPr>
    </w:p>
    <w:p w:rsidR="002825BD" w:rsidRPr="000508A9" w:rsidRDefault="002825BD" w:rsidP="002825BD">
      <w:pPr>
        <w:pStyle w:val="2"/>
        <w:widowControl w:val="0"/>
        <w:tabs>
          <w:tab w:val="left" w:pos="0"/>
        </w:tabs>
        <w:spacing w:after="0" w:line="300" w:lineRule="auto"/>
        <w:contextualSpacing/>
        <w:jc w:val="both"/>
        <w:rPr>
          <w:b/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ab/>
      </w:r>
      <w:r w:rsidRPr="000508A9">
        <w:rPr>
          <w:b/>
          <w:sz w:val="28"/>
          <w:szCs w:val="28"/>
          <w:lang w:val="uk-UA"/>
        </w:rPr>
        <w:t>10</w:t>
      </w:r>
      <w:r w:rsidRPr="000508A9">
        <w:rPr>
          <w:b/>
          <w:sz w:val="28"/>
          <w:szCs w:val="28"/>
          <w:vertAlign w:val="superscript"/>
          <w:lang w:val="uk-UA"/>
        </w:rPr>
        <w:t>1</w:t>
      </w:r>
      <w:r w:rsidRPr="000508A9">
        <w:rPr>
          <w:b/>
          <w:sz w:val="28"/>
          <w:szCs w:val="28"/>
          <w:lang w:val="uk-UA"/>
        </w:rPr>
        <w:t>. Вплив реалізації акта на ринок праці</w:t>
      </w:r>
    </w:p>
    <w:p w:rsidR="002825BD" w:rsidRDefault="002825BD" w:rsidP="002825BD">
      <w:pPr>
        <w:pStyle w:val="2"/>
        <w:widowControl w:val="0"/>
        <w:tabs>
          <w:tab w:val="left" w:pos="0"/>
        </w:tabs>
        <w:spacing w:after="0" w:line="30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508A9">
        <w:rPr>
          <w:sz w:val="28"/>
          <w:szCs w:val="28"/>
          <w:lang w:val="uk-UA"/>
        </w:rPr>
        <w:t>Проект постанови не спрямований безпосередньо на регулювання трудових відносин, а тому реалізація його положень не вплине на ринок праці.</w:t>
      </w:r>
    </w:p>
    <w:p w:rsidR="002825BD" w:rsidRDefault="002825BD" w:rsidP="002825BD">
      <w:pPr>
        <w:widowControl w:val="0"/>
        <w:spacing w:line="300" w:lineRule="auto"/>
        <w:ind w:firstLine="360"/>
        <w:jc w:val="both"/>
        <w:rPr>
          <w:b/>
          <w:sz w:val="22"/>
          <w:szCs w:val="22"/>
          <w:lang w:val="uk-UA"/>
        </w:rPr>
      </w:pPr>
    </w:p>
    <w:p w:rsidR="002825BD" w:rsidRDefault="002825BD" w:rsidP="002825BD">
      <w:pPr>
        <w:spacing w:line="30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Прогноз результатів</w:t>
      </w:r>
    </w:p>
    <w:p w:rsidR="002825BD" w:rsidRDefault="002825BD" w:rsidP="002825BD">
      <w:pPr>
        <w:spacing w:line="30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постанови </w:t>
      </w:r>
      <w:proofErr w:type="spellStart"/>
      <w:r>
        <w:rPr>
          <w:sz w:val="28"/>
          <w:szCs w:val="28"/>
          <w:lang w:val="uk-UA"/>
        </w:rPr>
        <w:t>надасть</w:t>
      </w:r>
      <w:proofErr w:type="spellEnd"/>
      <w:r>
        <w:rPr>
          <w:sz w:val="28"/>
          <w:szCs w:val="28"/>
          <w:lang w:val="uk-UA"/>
        </w:rPr>
        <w:t xml:space="preserve"> можливість </w:t>
      </w:r>
      <w:r w:rsidR="007E0F91">
        <w:rPr>
          <w:sz w:val="28"/>
          <w:szCs w:val="28"/>
          <w:lang w:val="uk-UA"/>
        </w:rPr>
        <w:t>оформляти іноземцям та особам без громадянства довгострокові візи на території України</w:t>
      </w:r>
      <w:r>
        <w:rPr>
          <w:sz w:val="28"/>
          <w:szCs w:val="28"/>
          <w:lang w:val="uk-UA"/>
        </w:rPr>
        <w:t xml:space="preserve">, що забезпечить </w:t>
      </w:r>
      <w:r w:rsidR="007E0F91">
        <w:rPr>
          <w:sz w:val="28"/>
          <w:szCs w:val="28"/>
          <w:lang w:val="uk-UA"/>
        </w:rPr>
        <w:t>зниження їх часових та фінансових витрат при оформленні посвідок на тимчасове проживання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2825BD" w:rsidRDefault="002825BD" w:rsidP="002825BD">
      <w:pPr>
        <w:spacing w:line="312" w:lineRule="auto"/>
        <w:jc w:val="both"/>
        <w:outlineLvl w:val="0"/>
        <w:rPr>
          <w:sz w:val="28"/>
          <w:szCs w:val="28"/>
          <w:lang w:val="uk-UA"/>
        </w:rPr>
      </w:pPr>
    </w:p>
    <w:p w:rsidR="002825BD" w:rsidRPr="007E0F91" w:rsidRDefault="002825BD" w:rsidP="002825BD">
      <w:pPr>
        <w:jc w:val="both"/>
        <w:outlineLvl w:val="0"/>
        <w:rPr>
          <w:b/>
          <w:sz w:val="28"/>
          <w:szCs w:val="28"/>
          <w:lang w:val="uk-UA"/>
        </w:rPr>
      </w:pPr>
      <w:r w:rsidRPr="007E0F91">
        <w:rPr>
          <w:b/>
          <w:sz w:val="28"/>
          <w:szCs w:val="28"/>
          <w:lang w:val="uk-UA"/>
        </w:rPr>
        <w:t xml:space="preserve">Перший віце-прем’єр-міністр України – </w:t>
      </w:r>
    </w:p>
    <w:p w:rsidR="002825BD" w:rsidRPr="007E0F91" w:rsidRDefault="002825BD" w:rsidP="002825BD">
      <w:pPr>
        <w:jc w:val="both"/>
        <w:outlineLvl w:val="0"/>
        <w:rPr>
          <w:b/>
          <w:sz w:val="28"/>
          <w:szCs w:val="28"/>
          <w:lang w:val="uk-UA"/>
        </w:rPr>
      </w:pPr>
      <w:r w:rsidRPr="007E0F91">
        <w:rPr>
          <w:b/>
          <w:sz w:val="28"/>
          <w:szCs w:val="28"/>
          <w:lang w:val="uk-UA"/>
        </w:rPr>
        <w:t>Міністр                                                                                                 С. І. Кубів</w:t>
      </w:r>
    </w:p>
    <w:p w:rsidR="002825BD" w:rsidRDefault="002825BD" w:rsidP="002825BD">
      <w:pPr>
        <w:spacing w:before="120" w:line="312" w:lineRule="auto"/>
        <w:jc w:val="both"/>
        <w:rPr>
          <w:lang w:val="uk-UA"/>
        </w:rPr>
      </w:pPr>
    </w:p>
    <w:p w:rsidR="00266B43" w:rsidRDefault="00266B43"/>
    <w:sectPr w:rsidR="00266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ED"/>
    <w:rsid w:val="000508A9"/>
    <w:rsid w:val="00141EE9"/>
    <w:rsid w:val="001A2DFE"/>
    <w:rsid w:val="00266B43"/>
    <w:rsid w:val="002825BD"/>
    <w:rsid w:val="003D1663"/>
    <w:rsid w:val="004D72DE"/>
    <w:rsid w:val="007E0F91"/>
    <w:rsid w:val="00AB27ED"/>
    <w:rsid w:val="00AE14D0"/>
    <w:rsid w:val="00B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0F46"/>
  <w15:chartTrackingRefBased/>
  <w15:docId w15:val="{C393E347-370D-407A-AA49-542CCB49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rPr>
      <w:rFonts w:ascii="Tahoma" w:eastAsia="SimSun" w:hAnsi="Tahoma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2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25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Samokhodskyi</dc:creator>
  <cp:keywords/>
  <dc:description/>
  <cp:lastModifiedBy>Ihor Samokhodskyi</cp:lastModifiedBy>
  <cp:revision>3</cp:revision>
  <dcterms:created xsi:type="dcterms:W3CDTF">2017-10-06T11:56:00Z</dcterms:created>
  <dcterms:modified xsi:type="dcterms:W3CDTF">2017-10-06T12:45:00Z</dcterms:modified>
</cp:coreProperties>
</file>