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C6" w:rsidRPr="00B9396F" w:rsidRDefault="009E0EC6" w:rsidP="00D23BDB">
      <w:pPr>
        <w:shd w:val="clear" w:color="auto" w:fill="FFFFFF"/>
        <w:spacing w:after="12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n922"/>
      <w:bookmarkEnd w:id="0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ПОЯСНЮВАЛЬНА ЗАПИСКА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до проекту </w:t>
      </w:r>
      <w:r w:rsidR="00951E90"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Закону України </w:t>
      </w:r>
      <w:r w:rsidR="00766099" w:rsidRPr="0076609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B76A6" w:rsidRPr="005B76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деяких законів України щодо вдосконалення державного регулювання процесу будівництва</w:t>
      </w:r>
      <w:r w:rsidR="00766099" w:rsidRPr="0076609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951E90" w:rsidRPr="00B9396F" w:rsidRDefault="00951E90" w:rsidP="00A74B72">
      <w:pPr>
        <w:shd w:val="clear" w:color="auto" w:fill="FFFFFF"/>
        <w:spacing w:after="120" w:line="240" w:lineRule="auto"/>
        <w:ind w:righ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n923"/>
      <w:bookmarkEnd w:id="1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 Обґрунтування необхідності прийняття акта</w:t>
      </w:r>
    </w:p>
    <w:p w:rsidR="00E02A60" w:rsidRDefault="00E02A60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924"/>
      <w:bookmarkEnd w:id="2"/>
    </w:p>
    <w:p w:rsidR="002945BB" w:rsidRDefault="00115A20" w:rsidP="00F25E6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Необхідність прийняття акта</w:t>
      </w:r>
      <w:r w:rsid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обумовлена </w:t>
      </w:r>
      <w:r w:rsidR="00B42F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 наступними проблемами</w:t>
      </w:r>
      <w:r w:rsid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 вирішення яких він спрямований:</w:t>
      </w:r>
    </w:p>
    <w:p w:rsidR="00F25E66" w:rsidRPr="002945BB" w:rsidRDefault="00F25E66" w:rsidP="002945BB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статті 17 Закону Україн</w:t>
      </w:r>
      <w:bookmarkStart w:id="3" w:name="_GoBack"/>
      <w:bookmarkEnd w:id="3"/>
      <w:r w:rsidRP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«Про архітектурну діяльність» до професійної атестації допускаються особи</w:t>
      </w:r>
      <w:r w:rsidR="0011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</w:t>
      </w:r>
      <w:r w:rsidRP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здобули вищої освіти, але мають стаж роботи у сфері містобудування не менш як десять років.</w:t>
      </w:r>
      <w:r w:rsidR="002B77A6" w:rsidRPr="00294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Вказана норма дозволяє особам без відповідної вищої освіти розробляти містобудівну документацію, здійснювати архітектурне та інженерно-будівельне проектування, технічний нагляд, експертизи, обстеження та інжинірингову діяльність у будівництві.</w:t>
      </w:r>
    </w:p>
    <w:p w:rsidR="00E02A60" w:rsidRDefault="00E02A60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Вказане регулювання не відповідає кращим світовим практикам. Так, відповідно до Директиви №213/55/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Європейського парламенту та Ради від 29.11.2013р. (якою внесено зміни до Директиви №2005/36/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визнання професійних кваліфікацій</w:t>
      </w:r>
      <w:r w:rsidRPr="00E02A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кваліфікація архітектора може бути визнана за умови, що такий архітектор як мінімум п</w:t>
      </w:r>
      <w:r w:rsidRPr="00E02A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’ять років стаціонарно навчався у університеті за відповідним напрямом, та успішно склав університетські іспити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За цією ж Директивою 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альтернативою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E02A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ятирічного стаціонарного навчання може бути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шестирічне навчання, чотири роки з якого було здійснено на стаціонарі.</w:t>
      </w:r>
    </w:p>
    <w:p w:rsidR="004461AE" w:rsidRDefault="004461AE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Крім того, наявність вищої спеціалізованої освіти 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осіб, які розробляють проектну документацію та здійснюють нагляд за будівництвом, визнається кращою світовою практикою за методологію рейтингу 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</w:rPr>
        <w:t>Doing</w:t>
      </w:r>
      <w:r w:rsidR="00F25E66" w:rsidRP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r w:rsidR="00F25E66" w:rsidRP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склада</w:t>
      </w:r>
      <w:r w:rsidR="00F25E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 групою Світового банку.</w:t>
      </w:r>
    </w:p>
    <w:p w:rsidR="006A460A" w:rsidRPr="006A460A" w:rsidRDefault="006A460A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Здійснення складної спеціалізованої діяльності у будівництві особами, які не мають відповідної вищої освіти</w:t>
      </w:r>
      <w:r w:rsidR="00115A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створює надмірні ризики для безпеки життя та здоров</w:t>
      </w:r>
      <w:r w:rsidRPr="006A4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громадян.</w:t>
      </w:r>
    </w:p>
    <w:p w:rsidR="006B1853" w:rsidRDefault="009F10C5" w:rsidP="006B1853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Здійснення підготовчих робіт, будівельних робіт на об</w:t>
      </w:r>
      <w:r w:rsidRPr="009F1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єктах І-ІІІ категорій складності та прийняття таких об</w:t>
      </w:r>
      <w:r w:rsidRPr="009F1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єктів в експлуатацію здійснються на підставі декларації. При цьому Закон України «Про регулювання містобудівної діяльності» встановлює необхідність реєстрації такої декларації органом </w:t>
      </w:r>
      <w:r w:rsidR="006B1853" w:rsidRPr="006B18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органу державного архітектурно-будівельного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Саме з фактом реєстрації декларації </w:t>
      </w:r>
      <w:r w:rsidR="006B18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</w:t>
      </w:r>
      <w:r w:rsidR="006B1853" w:rsidRPr="006B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6B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язане виникнення прав суб</w:t>
      </w:r>
      <w:r w:rsidR="006B18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’єктів господарювання. Зазначений механізм має наступні недоліки:</w:t>
      </w:r>
    </w:p>
    <w:p w:rsidR="006B1853" w:rsidRDefault="006B1853" w:rsidP="006B185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Декларативний принцип у будівництві не діє, оскільки процедура реєстрації декларації є аналогічною отриманню дозволу, а факту подання декларації недостатньо для початку господарської діяльності;</w:t>
      </w:r>
    </w:p>
    <w:p w:rsidR="006B1853" w:rsidRPr="006B1853" w:rsidRDefault="006B1853" w:rsidP="006B185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Існування процедури реєстрації декларації не є обгрунтованим – орган</w:t>
      </w:r>
      <w:r w:rsidRPr="006B18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державного архітектурно-будівельного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повинен перевіряти лише формальні вимоги до декларації, не здійснюючи при цьому перевірку об</w:t>
      </w:r>
      <w:r w:rsidRPr="006B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єкту будівництва;</w:t>
      </w:r>
    </w:p>
    <w:p w:rsidR="006B1853" w:rsidRDefault="006B1853" w:rsidP="006B1853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Законом встановлена можливість ретроспективного скасування реєстрації декларації навіть якщо підстави для такого скасування виникли після такої реєстрації.</w:t>
      </w:r>
    </w:p>
    <w:p w:rsidR="006B1853" w:rsidRPr="006B1853" w:rsidRDefault="006B1853" w:rsidP="006B1853">
      <w:pPr>
        <w:pStyle w:val="ListParagraph"/>
        <w:shd w:val="clear" w:color="auto" w:fill="FFFFFF"/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945BB" w:rsidRDefault="00662D8C" w:rsidP="009D6DD2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Кодексом цивільного захисту України встановлений обов</w:t>
      </w:r>
      <w:r w:rsidRPr="0066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язок замовників буді</w:t>
      </w:r>
      <w:r w:rsidRPr="0066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вництва отримувати у центральному органі виконавчої влади, який забезпечує формування та реалізує державну політику у сфері цивільного захисту, вихідні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62D8C">
        <w:rPr>
          <w:lang w:val="uk-UA"/>
        </w:rPr>
        <w:t xml:space="preserve"> </w:t>
      </w:r>
      <w:r w:rsidRPr="0066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порядку, визначеному Законом України "Про регулювання містобудівної діяльності"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Разом з тим, зазначений закон не встановлює порядку одержання таких даних та їх зміст.</w:t>
      </w:r>
    </w:p>
    <w:p w:rsidR="00662D8C" w:rsidRDefault="00662D8C" w:rsidP="009D6DD2">
      <w:pPr>
        <w:pStyle w:val="ListParagraph"/>
        <w:shd w:val="clear" w:color="auto" w:fill="FFFFFF"/>
        <w:spacing w:after="12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Більше того, вимоги, пов</w:t>
      </w:r>
      <w:r w:rsidRPr="0066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язані з цивільним захистом, повинні бути викладені у загальнообов</w:t>
      </w:r>
      <w:r w:rsidRPr="0066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’язкових та загальнодоступних актах нормативного характеру, як були б обов’язковими для усіх суб’єктів господарювання. Практика ж надання вихідних даних у індивідуальному порядку створює умови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зловживань, кор</w:t>
      </w:r>
      <w:r w:rsidR="009E02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упції або неконкурентних переваг.</w:t>
      </w:r>
    </w:p>
    <w:p w:rsidR="001D2BC9" w:rsidRDefault="001D2BC9" w:rsidP="009D6DD2">
      <w:pPr>
        <w:pStyle w:val="ListParagraph"/>
        <w:shd w:val="clear" w:color="auto" w:fill="FFFFFF"/>
        <w:spacing w:after="12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2BC9" w:rsidRPr="00662D8C" w:rsidRDefault="001D2BC9" w:rsidP="001D2BC9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 України </w:t>
      </w:r>
      <w:r w:rsidRPr="001D2B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"Про регулювання містобудівної діяльності"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передбачає можливість зупинення підготовчих або будівельнх робіт без рішення суду за </w:t>
      </w:r>
      <w:r w:rsidR="00257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навіть дрібні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порушення вимог законодавства, проектної документації, містобудівних умов та обмежень тощо. При цьому таке зупинення відбувається на підставі припису державного органу архітектурно-будівельного контролю без рішення суду. Зазначене регулювання відрізняється від регламентації інших видів господарської діяльності, які, за загальним правилом, встановленим Законом України «Про основні засади державного нагляду (контролю) у сфері господарської діяльності», можуть бути призупинені лише за рішенням суду.</w:t>
      </w:r>
    </w:p>
    <w:p w:rsidR="001F1BB6" w:rsidRDefault="001F1BB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925"/>
      <w:bookmarkEnd w:id="4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2. Мета і шляхи її досягнення</w:t>
      </w:r>
    </w:p>
    <w:p w:rsidR="008058BE" w:rsidRPr="00D75296" w:rsidRDefault="00617C26" w:rsidP="008058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926"/>
      <w:bookmarkEnd w:id="5"/>
      <w:r w:rsidRPr="00627764">
        <w:rPr>
          <w:rFonts w:ascii="Times New Roman" w:hAnsi="Times New Roman" w:cs="Times New Roman"/>
          <w:sz w:val="28"/>
          <w:szCs w:val="28"/>
          <w:lang w:val="uk-UA"/>
        </w:rPr>
        <w:t xml:space="preserve">Метою проекту Закону </w:t>
      </w:r>
      <w:r w:rsidR="00884501">
        <w:rPr>
          <w:rFonts w:ascii="Times New Roman" w:hAnsi="Times New Roman" w:cs="Times New Roman"/>
          <w:sz w:val="28"/>
          <w:szCs w:val="28"/>
          <w:lang w:val="uk-UA"/>
        </w:rPr>
        <w:t xml:space="preserve">є вдосконалення та підвищення ефективності державного регулювання процедури будівництва шляхом 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>спрощення надмірно обтяжливих процедур у сфері будівництва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8450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вимог до осіб, які 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 xml:space="preserve">розробляють містобудівну документацію, здійснюють архітектурне та інженерно-будівельне проектування, 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>технічний нагляд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 xml:space="preserve">, експертизи, обстеження та 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 xml:space="preserve">інжинірингову діяльність </w:t>
      </w:r>
      <w:r w:rsidR="008B0512">
        <w:rPr>
          <w:rFonts w:ascii="Times New Roman" w:hAnsi="Times New Roman" w:cs="Times New Roman"/>
          <w:sz w:val="28"/>
          <w:szCs w:val="28"/>
          <w:lang w:val="uk-UA"/>
        </w:rPr>
        <w:t>у будівництві</w:t>
      </w:r>
      <w:r w:rsidR="008845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5296" w:rsidRDefault="00C7056A" w:rsidP="00A74B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Задля досягнення вказаної мети проектом Закону впроваджуються наступні положення:</w:t>
      </w:r>
    </w:p>
    <w:p w:rsidR="00C7056A" w:rsidRDefault="00884501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виключається можливість одержання кваліфікаційного сертифікату особам</w:t>
      </w:r>
      <w:r w:rsidR="00AB1C2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не </w:t>
      </w:r>
      <w:r w:rsidRPr="00884501">
        <w:rPr>
          <w:rFonts w:ascii="Times New Roman" w:hAnsi="Times New Roman" w:cs="Times New Roman"/>
          <w:sz w:val="28"/>
          <w:szCs w:val="28"/>
          <w:lang w:val="uk-UA"/>
        </w:rPr>
        <w:t xml:space="preserve">здобули вищої освіти за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</w:t>
      </w:r>
      <w:r w:rsidRPr="00884501">
        <w:rPr>
          <w:rFonts w:ascii="Times New Roman" w:hAnsi="Times New Roman" w:cs="Times New Roman"/>
          <w:sz w:val="28"/>
          <w:szCs w:val="28"/>
          <w:lang w:val="uk-UA"/>
        </w:rPr>
        <w:t>ним напрямом професійної атестації</w:t>
      </w:r>
      <w:r w:rsidR="00CB2D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4501" w:rsidRDefault="00884501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виключається необхідність одержання </w:t>
      </w:r>
      <w:r w:rsidR="00AB1C26" w:rsidRPr="00884501">
        <w:rPr>
          <w:rFonts w:ascii="Times New Roman" w:hAnsi="Times New Roman" w:cs="Times New Roman"/>
          <w:sz w:val="28"/>
          <w:szCs w:val="28"/>
          <w:lang w:val="uk-UA"/>
        </w:rPr>
        <w:t>у центрально</w:t>
      </w:r>
      <w:r w:rsidR="00AB1C26">
        <w:rPr>
          <w:rFonts w:ascii="Times New Roman" w:hAnsi="Times New Roman" w:cs="Times New Roman"/>
          <w:sz w:val="28"/>
          <w:szCs w:val="28"/>
          <w:lang w:val="uk-UA"/>
        </w:rPr>
        <w:t>го органу</w:t>
      </w:r>
      <w:r w:rsidR="00AB1C26" w:rsidRPr="0088450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виконавчої влади, який забезпечує формування та реалізує державну політику у сфері цивільного захисту</w:t>
      </w:r>
      <w:r w:rsidR="00AB1C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вихідних даних для проектування об</w:t>
      </w:r>
      <w:r w:rsidRPr="00884501">
        <w:rPr>
          <w:rFonts w:ascii="Times New Roman" w:hAnsi="Times New Roman" w:cs="Times New Roman"/>
          <w:sz w:val="28"/>
          <w:szCs w:val="28"/>
          <w:lang w:val="uk-UA"/>
        </w:rPr>
        <w:t>’єктів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2D39" w:rsidRDefault="00884501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скасовується процедура реєстрації декларацій у сфері будівельної діяльності</w:t>
      </w:r>
      <w:r w:rsidR="00257C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7C40" w:rsidRPr="00884501" w:rsidRDefault="00257C40" w:rsidP="0088450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запроваджується необхідність одержання рішення суду для призупинення підготовчих або будівельних робіт за ініціативою державного органу архітектурно-будівельного контролю.</w:t>
      </w:r>
    </w:p>
    <w:p w:rsidR="00617C26" w:rsidRPr="00B9396F" w:rsidRDefault="00617C26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927"/>
      <w:bookmarkEnd w:id="6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3. Правові аспекти</w:t>
      </w:r>
    </w:p>
    <w:p w:rsidR="009E0EC6" w:rsidRPr="00B9396F" w:rsidRDefault="00951E90" w:rsidP="00A74B72">
      <w:pPr>
        <w:pStyle w:val="HTMLPreformatted"/>
        <w:shd w:val="clear" w:color="auto" w:fill="FFFFFF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7" w:name="n928"/>
      <w:bookmarkEnd w:id="7"/>
      <w:r w:rsidRPr="00B9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сфері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9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32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регулювання </w:t>
      </w:r>
      <w:r w:rsidR="00654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якої вдосконалюється проектом закону, діють Кодекс цивільного захисту України, Кодекс України про адміністративні правопорушення, </w:t>
      </w:r>
      <w:r w:rsidRPr="00B93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регулювання містобудівної діяльності</w:t>
      </w:r>
      <w:r w:rsidR="00074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фінансово-кредитні механізми і управління майном при будівництві житла та операціях з нерухомістю»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архітектурну діяльність»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місцеве самоврядування»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Закон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«Про відповідальність за правопорушення у сфері містобудівної діяльності»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основи містобудування»</w:t>
      </w:r>
      <w:r w:rsid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654A36" w:rsidRPr="00654A36">
        <w:rPr>
          <w:lang w:val="uk-UA"/>
        </w:rPr>
        <w:t xml:space="preserve"> </w:t>
      </w:r>
      <w:r w:rsidR="00654A36" w:rsidRPr="0065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охорону праці»</w:t>
      </w:r>
      <w:r w:rsidR="009E0EC6" w:rsidRPr="00B9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51E90" w:rsidRPr="00B9396F" w:rsidRDefault="00951E90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929"/>
      <w:bookmarkEnd w:id="8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еалізація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Закону не потребує внесення змін до інших законодавчих акт</w:t>
      </w:r>
      <w:r w:rsidR="000E1BDA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ів, окрім зазначених у </w:t>
      </w:r>
      <w:r w:rsidR="00654A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ньому</w:t>
      </w:r>
      <w:r w:rsidR="00D1285D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0EC6" w:rsidRPr="00B9396F" w:rsidRDefault="00951E90" w:rsidP="002F6C41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Реалізація законопро</w:t>
      </w:r>
      <w:r w:rsidR="00D23BDB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 також не передбачає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визнання 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будь-яких нормативно-правових актів 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такими, що втратили чинність</w:t>
      </w:r>
      <w:r w:rsidR="00F71119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та/або 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розроблення нових </w:t>
      </w:r>
      <w:r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нормативно-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правових актів</w:t>
      </w:r>
      <w:r w:rsidR="00D23BDB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(окрім нормативно-правових актів про внесення змін до вже існуючих підзаконних нормативно-правових актів)</w:t>
      </w:r>
      <w:r w:rsidR="009E0EC6" w:rsidRPr="002F6C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E0EC6" w:rsidRPr="00B9396F" w:rsidRDefault="00951E90" w:rsidP="00A74B72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9" w:name="n930"/>
      <w:bookmarkEnd w:id="9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роект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не стосується прав та обов’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язків </w:t>
      </w:r>
      <w:r w:rsidR="009E0EC6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371F4A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не здійснюють господарську діяльність</w:t>
      </w:r>
      <w:r w:rsidR="009E0EC6" w:rsidRPr="00371F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23BDB" w:rsidRPr="00B9396F" w:rsidRDefault="00D23BDB" w:rsidP="00D23BD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931"/>
      <w:bookmarkEnd w:id="10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4. Фінансово-економічне обґрунтування</w:t>
      </w:r>
    </w:p>
    <w:p w:rsidR="00D81C9E" w:rsidRPr="00C212FE" w:rsidRDefault="00D81C9E" w:rsidP="00D23BDB">
      <w:pPr>
        <w:pStyle w:val="HTMLPreformatted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1" w:name="n932"/>
      <w:bookmarkEnd w:id="11"/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проекту Закону</w:t>
      </w:r>
      <w:r w:rsidR="00A800E3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1E90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потребує додаткових матеріальних та інших витрат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державного та/або місцев</w:t>
      </w:r>
      <w:r w:rsidR="00617C26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7C26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бюджетів</w:t>
      </w:r>
      <w:r w:rsidR="00951E90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662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Більше того, скасування процедури реєстрації декларацій у сфері будівництва та процедури видачі вихідних даних щодо цивільного захисту зменшить витрати державного бюджету на адміністрування цієї процедури.</w:t>
      </w:r>
    </w:p>
    <w:p w:rsidR="00617C26" w:rsidRPr="00C212FE" w:rsidRDefault="00617C26" w:rsidP="00D23BDB">
      <w:pPr>
        <w:pStyle w:val="HTMLPreformatted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зв’язку із цим розрахунок необхідних додаткових матеріальних і фінансових витрат, їх обсяг та джерела покриття до </w:t>
      </w:r>
      <w:r w:rsidR="00A800E3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пояснювальної записки </w:t>
      </w:r>
      <w:r w:rsidR="00D23BDB"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додає</w:t>
      </w:r>
      <w:r w:rsidRPr="00C212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ться.</w:t>
      </w:r>
    </w:p>
    <w:p w:rsidR="00951E90" w:rsidRPr="00B9396F" w:rsidRDefault="00951E90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933"/>
      <w:bookmarkEnd w:id="12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5. Позиція заінтересованих органів</w:t>
      </w:r>
    </w:p>
    <w:p w:rsidR="00D81C9E" w:rsidRPr="00B9396F" w:rsidRDefault="00D81C9E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3" w:name="n934"/>
      <w:bookmarkEnd w:id="13"/>
      <w:r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Законопроект потребує погодження із </w:t>
      </w:r>
      <w:r w:rsidR="0053275E" w:rsidRPr="00B92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Міністерством економічного розвитку і торгівлі України, </w:t>
      </w:r>
      <w:r w:rsidR="008D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Міністерством внутрішніх справ України, </w:t>
      </w:r>
      <w:r w:rsidR="008D4892"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Міністерством юстиції України</w:t>
      </w:r>
      <w:r w:rsidR="008D4892" w:rsidRPr="00B92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497119" w:rsidRPr="00B92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Державною р</w:t>
      </w:r>
      <w:r w:rsidRPr="00B923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егуляторною службою України.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937"/>
      <w:bookmarkEnd w:id="14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6. Регіональний аспект</w:t>
      </w:r>
    </w:p>
    <w:p w:rsidR="009E0EC6" w:rsidRPr="00B9396F" w:rsidRDefault="00D81C9E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938"/>
      <w:bookmarkEnd w:id="15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роект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не 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стосується питання розвитку адміністративно-територіальних одиниць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його положення не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вплив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ають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регіональний розвиток.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939"/>
      <w:bookmarkStart w:id="17" w:name="n1177"/>
      <w:bookmarkEnd w:id="16"/>
      <w:bookmarkEnd w:id="17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Запобігання дискримінації</w:t>
      </w:r>
    </w:p>
    <w:p w:rsidR="009E0EC6" w:rsidRPr="00E84E3B" w:rsidRDefault="00C56B57" w:rsidP="00E84E3B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1178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Закону спрямований на забезпечення ефективного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прозорого 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регулювання господарської діяльності у сфері будівництва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D5102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97119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проекті </w:t>
      </w:r>
      <w:r w:rsid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="00497119" w:rsidRPr="00FD51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відсутні положення, які містять ознаки дискримінації.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9" w:name="n940"/>
      <w:bookmarkEnd w:id="19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7. Запобігання корупції</w:t>
      </w:r>
    </w:p>
    <w:p w:rsidR="00497119" w:rsidRPr="00B9396F" w:rsidRDefault="00497119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0" w:name="n941"/>
      <w:bookmarkEnd w:id="20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Даний проект 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передбачає запровадження нових правил та/або процедур.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ому ризики вчинення корупційних правопорушень за наслідками прийняття 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проекту З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акон</w:t>
      </w:r>
      <w:r w:rsidR="00B16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відсутні.</w:t>
      </w:r>
    </w:p>
    <w:p w:rsidR="00497119" w:rsidRPr="00B9396F" w:rsidRDefault="00497119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Водночас, проект Закону 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скасовує певні бюрократичні процедури у сфері будівництва, що</w:t>
      </w:r>
      <w:r w:rsidR="008F0A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обмежує свободу дій державних органів, зменшуючи т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аким чином, ризики корупційних правопорушень.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1" w:name="n942"/>
      <w:bookmarkEnd w:id="21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8. Громадське обговорення</w:t>
      </w:r>
    </w:p>
    <w:p w:rsidR="00586362" w:rsidRPr="00B9396F" w:rsidRDefault="00586362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2" w:name="n943"/>
      <w:bookmarkEnd w:id="22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Закону пройшов консультації із громадс</w:t>
      </w:r>
      <w:r w:rsidR="00B9396F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кістю, основними представниками якої були </w:t>
      </w:r>
      <w:r w:rsidR="008D48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організації, що здійснюють діяльність у сфері будівництва,</w:t>
      </w:r>
      <w:r w:rsidR="007A5D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бізнес-асоціації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 результатами громадського обговорення проект Закону отримав підтримку.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3" w:name="n945"/>
      <w:bookmarkEnd w:id="23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9. Позиція соціальних партнерів</w:t>
      </w:r>
    </w:p>
    <w:p w:rsidR="009E0EC6" w:rsidRPr="00B9396F" w:rsidRDefault="005F02EF" w:rsidP="00452528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4" w:name="n946"/>
      <w:bookmarkEnd w:id="24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проекту Закону не стосуються 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соціально-трудової сфери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прав осіб з обмеженими можливостями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Виходячи з цього, 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Закону не проходив узгодження із уповноваженими представниками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всеукраїнських профспілок, їх об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’єднан</w:t>
      </w:r>
      <w:r w:rsidR="00B9396F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ями та всеукраїнськими об’єднаннями</w:t>
      </w:r>
      <w:r w:rsidR="009E0EC6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організацій роботодавців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всеукраїнськими громадськими організаціями інвалідів, їх спілками. </w:t>
      </w:r>
      <w:r w:rsidR="00452528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позиція зазначених соціальних партнерів щодо даного проекту Закону не на</w:t>
      </w:r>
      <w:r w:rsidR="008C60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="0014778C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ється.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5" w:name="n947"/>
      <w:bookmarkEnd w:id="25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10. Оцінка регуляторного впливу</w:t>
      </w:r>
    </w:p>
    <w:p w:rsidR="002C6F20" w:rsidRPr="00FB2D86" w:rsidRDefault="009D6DD2" w:rsidP="008B38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948"/>
      <w:bookmarkEnd w:id="26"/>
      <w:r>
        <w:rPr>
          <w:rFonts w:ascii="Times New Roman" w:hAnsi="Times New Roman" w:cs="Times New Roman"/>
          <w:sz w:val="28"/>
          <w:szCs w:val="28"/>
          <w:lang w:val="uk-UA"/>
        </w:rPr>
        <w:t>Проектом Закону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ab/>
        <w:t>виключається можливість одержання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>кваліфікаційного сертифікату особами, які не здобули вищої освіти за необхідним напрямом професійної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86B">
        <w:rPr>
          <w:rFonts w:ascii="Times New Roman" w:hAnsi="Times New Roman" w:cs="Times New Roman"/>
          <w:sz w:val="28"/>
          <w:szCs w:val="28"/>
          <w:lang w:val="uk-UA"/>
        </w:rPr>
        <w:t xml:space="preserve">Такий підхід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істотно підвищує </w:t>
      </w:r>
      <w:r w:rsidRPr="009D6DD2">
        <w:rPr>
          <w:rFonts w:ascii="Times New Roman" w:hAnsi="Times New Roman" w:cs="Times New Roman"/>
          <w:sz w:val="28"/>
          <w:szCs w:val="28"/>
          <w:lang w:val="uk-UA"/>
        </w:rPr>
        <w:t>якість та надійність будівельних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, що, у свою чергу, створює передумови для зменшення необхідності державного втручання у цю сферу під час безпосереднього здійснення господарської діяльності</w:t>
      </w:r>
      <w:r w:rsidR="008B386B" w:rsidRPr="00FB2D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F18" w:rsidRDefault="00213F18" w:rsidP="001775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9D6DD2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роект Закону вдосконалює процедуру застосування</w:t>
      </w:r>
      <w:r w:rsidR="009D6DD2">
        <w:rPr>
          <w:rFonts w:ascii="Times New Roman" w:hAnsi="Times New Roman" w:cs="Times New Roman"/>
          <w:sz w:val="28"/>
          <w:szCs w:val="28"/>
          <w:lang w:val="uk-UA"/>
        </w:rPr>
        <w:t xml:space="preserve"> декларацій у сфері будівництва. Проект Закону істотно спрощує господарську діяльність, оскільки самого факту подання декларації буде достатньо для початку діяльності у сфері будівництва.</w:t>
      </w:r>
    </w:p>
    <w:p w:rsidR="00177590" w:rsidRDefault="00177590" w:rsidP="001775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D86">
        <w:rPr>
          <w:rFonts w:ascii="Times New Roman" w:hAnsi="Times New Roman" w:cs="Times New Roman"/>
          <w:sz w:val="28"/>
          <w:szCs w:val="28"/>
          <w:lang w:val="uk-UA"/>
        </w:rPr>
        <w:t>В цілому, проект Закону відповідає всім принципам державної регуляторної політики, а саме: доцільності, адекватності, ефективності, збалансованості, передбачуваності, прозорості та врахування громадської думки.</w:t>
      </w:r>
    </w:p>
    <w:p w:rsidR="007C03C4" w:rsidRPr="00B9396F" w:rsidRDefault="007C03C4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7" w:name="n1316"/>
      <w:bookmarkEnd w:id="27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Вплив реалізації акта на ринок праці</w:t>
      </w:r>
    </w:p>
    <w:p w:rsidR="00DC58D4" w:rsidRDefault="00DC58D4" w:rsidP="00DC58D4">
      <w:pPr>
        <w:pStyle w:val="BodyText2"/>
        <w:tabs>
          <w:tab w:val="left" w:pos="0"/>
        </w:tabs>
        <w:spacing w:after="0" w:line="240" w:lineRule="auto"/>
        <w:ind w:firstLine="720"/>
        <w:contextualSpacing/>
        <w:jc w:val="both"/>
        <w:rPr>
          <w:lang w:val="uk-UA"/>
        </w:rPr>
      </w:pPr>
      <w:bookmarkStart w:id="28" w:name="n1317"/>
      <w:bookmarkEnd w:id="28"/>
      <w:r>
        <w:rPr>
          <w:lang w:val="uk-UA"/>
        </w:rPr>
        <w:t xml:space="preserve">Реалізація </w:t>
      </w:r>
      <w:r w:rsidR="002C6F20">
        <w:rPr>
          <w:lang w:val="uk-UA"/>
        </w:rPr>
        <w:t>проекту</w:t>
      </w:r>
      <w:r>
        <w:rPr>
          <w:lang w:val="uk-UA"/>
        </w:rPr>
        <w:t xml:space="preserve"> </w:t>
      </w:r>
      <w:r w:rsidR="002C6F20">
        <w:rPr>
          <w:lang w:val="uk-UA"/>
        </w:rPr>
        <w:t xml:space="preserve">Закону </w:t>
      </w:r>
      <w:r w:rsidR="00C747F9">
        <w:rPr>
          <w:lang w:val="uk-UA"/>
        </w:rPr>
        <w:t>може потягнути за собою збільшення кількості робочих місць, оскільки скасування певних бюрократичних процедур у сфері будівництва робить цю сферу більш привабливою для суб</w:t>
      </w:r>
      <w:r w:rsidR="00C747F9" w:rsidRPr="00C747F9">
        <w:rPr>
          <w:lang w:val="uk-UA"/>
        </w:rPr>
        <w:t>’</w:t>
      </w:r>
      <w:r w:rsidR="00C747F9">
        <w:rPr>
          <w:lang w:val="uk-UA"/>
        </w:rPr>
        <w:t>єктів господарювання</w:t>
      </w:r>
      <w:r>
        <w:rPr>
          <w:lang w:val="uk-UA"/>
        </w:rPr>
        <w:t>.</w:t>
      </w:r>
    </w:p>
    <w:p w:rsidR="00D23BDB" w:rsidRPr="00B9396F" w:rsidRDefault="00D23BDB" w:rsidP="00D23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E0EC6" w:rsidRPr="00B9396F" w:rsidRDefault="009E0EC6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9" w:name="n949"/>
      <w:bookmarkEnd w:id="29"/>
      <w:r w:rsidRPr="00B93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11. Прогноз результатів</w:t>
      </w:r>
    </w:p>
    <w:p w:rsidR="002C6F20" w:rsidRPr="00B9396F" w:rsidRDefault="002C6F20" w:rsidP="002C6F20">
      <w:pPr>
        <w:autoSpaceDE w:val="0"/>
        <w:autoSpaceDN w:val="0"/>
        <w:adjustRightInd w:val="0"/>
        <w:spacing w:after="12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n950"/>
      <w:bookmarkEnd w:id="30"/>
      <w:r w:rsidRPr="00B9396F">
        <w:rPr>
          <w:rFonts w:ascii="Times New Roman" w:hAnsi="Times New Roman" w:cs="Times New Roman"/>
          <w:sz w:val="28"/>
          <w:szCs w:val="28"/>
          <w:lang w:val="uk-UA"/>
        </w:rPr>
        <w:t>Внаслідок прийняття проекту Закону буде досягнуто ряд важливих цілей:</w:t>
      </w:r>
    </w:p>
    <w:p w:rsidR="00FD1645" w:rsidRDefault="00107A67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та надійність будівельних робіт буде підвищено завдяки збільшенню кваліфікаційних</w:t>
      </w:r>
      <w:r w:rsidR="004B47CE" w:rsidRPr="004B47CE">
        <w:rPr>
          <w:rFonts w:ascii="Times New Roman" w:hAnsi="Times New Roman" w:cs="Times New Roman"/>
          <w:sz w:val="28"/>
          <w:szCs w:val="28"/>
          <w:lang w:val="uk-UA"/>
        </w:rPr>
        <w:t xml:space="preserve"> вимог до осіб, які розробляють містобудівну документацію, здійснюють архітектурне та інженерно-будівельне проектування, технічний нагляд, експертизи, обстеження та інжинірингову діяльність у будівництві</w:t>
      </w:r>
      <w:r w:rsidR="00FD1645" w:rsidRPr="00FD1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F7F" w:rsidRDefault="00C03A1E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регуляторний режим будівництва об</w:t>
      </w:r>
      <w:r w:rsidRPr="00C03A1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І-ІІІ категорії складності буде вдосконалено шляхом реального впровадження декларативного принципу для діяльності суб’єктів господарювання</w:t>
      </w:r>
      <w:r w:rsidR="000D3F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A1E" w:rsidRDefault="000D3F7F" w:rsidP="004B47CE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впроваджено судовий контроль за зупиненням підготовчих або будівельних робіт за ініціативою державного органу архітектурно-будівельного контролю</w:t>
      </w:r>
      <w:r w:rsidR="00C03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F20" w:rsidRPr="00B9396F" w:rsidRDefault="002C6F20" w:rsidP="002C6F2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BDB" w:rsidRDefault="00D23BDB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729"/>
      </w:tblGrid>
      <w:tr w:rsidR="00BA0511" w:rsidRPr="00967A66" w:rsidTr="00A97872">
        <w:tc>
          <w:tcPr>
            <w:tcW w:w="6487" w:type="dxa"/>
            <w:vAlign w:val="center"/>
          </w:tcPr>
          <w:p w:rsidR="00BA0511" w:rsidRPr="00967A66" w:rsidRDefault="00140C2F" w:rsidP="00A97872">
            <w:pPr>
              <w:spacing w:before="45" w:after="45" w:line="306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800" w:type="dxa"/>
            <w:vAlign w:val="bottom"/>
          </w:tcPr>
          <w:p w:rsidR="00BA0511" w:rsidRPr="00967A66" w:rsidRDefault="00BA0511" w:rsidP="00140C2F">
            <w:pPr>
              <w:spacing w:before="45" w:after="45" w:line="306" w:lineRule="atLeast"/>
              <w:jc w:val="right"/>
              <w:rPr>
                <w:rFonts w:ascii="Times New Roman" w:eastAsia="Times New Roman" w:hAnsi="Times New Roman" w:cs="Times New Roman"/>
                <w:color w:val="211F1F"/>
                <w:sz w:val="28"/>
                <w:szCs w:val="28"/>
                <w:lang w:val="uk-UA"/>
              </w:rPr>
            </w:pPr>
          </w:p>
        </w:tc>
      </w:tr>
    </w:tbl>
    <w:p w:rsidR="00E84E3B" w:rsidRPr="00B9396F" w:rsidRDefault="00E84E3B" w:rsidP="00A74B72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E56D5" w:rsidRPr="00B9396F" w:rsidRDefault="009E0EC6" w:rsidP="00D1285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1" w:name="n951"/>
      <w:bookmarkStart w:id="32" w:name="n952"/>
      <w:bookmarkEnd w:id="31"/>
      <w:bookmarkEnd w:id="32"/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 _______________ 20</w:t>
      </w:r>
      <w:r w:rsidR="00D1285D"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B939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bookmarkStart w:id="33" w:name="n953"/>
      <w:bookmarkEnd w:id="33"/>
    </w:p>
    <w:sectPr w:rsidR="00CE56D5" w:rsidRPr="00B9396F" w:rsidSect="00E84E3B">
      <w:pgSz w:w="11907" w:h="16840" w:code="9"/>
      <w:pgMar w:top="1361" w:right="851" w:bottom="136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1F" w:rsidRDefault="00B90B1F" w:rsidP="00617C26">
      <w:pPr>
        <w:spacing w:after="0" w:line="240" w:lineRule="auto"/>
      </w:pPr>
      <w:r>
        <w:separator/>
      </w:r>
    </w:p>
  </w:endnote>
  <w:endnote w:type="continuationSeparator" w:id="0">
    <w:p w:rsidR="00B90B1F" w:rsidRDefault="00B90B1F" w:rsidP="0061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1F" w:rsidRDefault="00B90B1F" w:rsidP="00617C26">
      <w:pPr>
        <w:spacing w:after="0" w:line="240" w:lineRule="auto"/>
      </w:pPr>
      <w:r>
        <w:separator/>
      </w:r>
    </w:p>
  </w:footnote>
  <w:footnote w:type="continuationSeparator" w:id="0">
    <w:p w:rsidR="00B90B1F" w:rsidRDefault="00B90B1F" w:rsidP="0061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3075"/>
    <w:multiLevelType w:val="hybridMultilevel"/>
    <w:tmpl w:val="3D5E8AF4"/>
    <w:lvl w:ilvl="0" w:tplc="2A904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26944"/>
    <w:multiLevelType w:val="hybridMultilevel"/>
    <w:tmpl w:val="DFE84504"/>
    <w:lvl w:ilvl="0" w:tplc="9E86E57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DE13A88"/>
    <w:multiLevelType w:val="hybridMultilevel"/>
    <w:tmpl w:val="C0F0677A"/>
    <w:lvl w:ilvl="0" w:tplc="80AE06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D43158"/>
    <w:multiLevelType w:val="hybridMultilevel"/>
    <w:tmpl w:val="9EEA1F88"/>
    <w:lvl w:ilvl="0" w:tplc="5EB0189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6D4870"/>
    <w:multiLevelType w:val="hybridMultilevel"/>
    <w:tmpl w:val="6E22708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EB7802"/>
    <w:multiLevelType w:val="hybridMultilevel"/>
    <w:tmpl w:val="7ECA8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AD20A7"/>
    <w:multiLevelType w:val="hybridMultilevel"/>
    <w:tmpl w:val="308E4430"/>
    <w:lvl w:ilvl="0" w:tplc="98FC822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5"/>
    <w:rsid w:val="00014F38"/>
    <w:rsid w:val="0003572C"/>
    <w:rsid w:val="000375F8"/>
    <w:rsid w:val="00042E13"/>
    <w:rsid w:val="00074964"/>
    <w:rsid w:val="000A15F4"/>
    <w:rsid w:val="000A7D86"/>
    <w:rsid w:val="000B50CC"/>
    <w:rsid w:val="000D3F7F"/>
    <w:rsid w:val="000D4362"/>
    <w:rsid w:val="000D72EF"/>
    <w:rsid w:val="000E1BDA"/>
    <w:rsid w:val="000F6AC8"/>
    <w:rsid w:val="00107A67"/>
    <w:rsid w:val="001111CF"/>
    <w:rsid w:val="00115A20"/>
    <w:rsid w:val="00140C2F"/>
    <w:rsid w:val="0014778C"/>
    <w:rsid w:val="00171152"/>
    <w:rsid w:val="00177590"/>
    <w:rsid w:val="0019107C"/>
    <w:rsid w:val="001D2BC9"/>
    <w:rsid w:val="001F1BB6"/>
    <w:rsid w:val="00213F18"/>
    <w:rsid w:val="0023372D"/>
    <w:rsid w:val="00251F38"/>
    <w:rsid w:val="00257C40"/>
    <w:rsid w:val="00261E42"/>
    <w:rsid w:val="002945BB"/>
    <w:rsid w:val="002B77A6"/>
    <w:rsid w:val="002C6F20"/>
    <w:rsid w:val="002F6C41"/>
    <w:rsid w:val="00324E02"/>
    <w:rsid w:val="00326510"/>
    <w:rsid w:val="00371F4A"/>
    <w:rsid w:val="00375A5E"/>
    <w:rsid w:val="003A0586"/>
    <w:rsid w:val="003E3B7D"/>
    <w:rsid w:val="004140A5"/>
    <w:rsid w:val="00416AB3"/>
    <w:rsid w:val="0044554B"/>
    <w:rsid w:val="004461AE"/>
    <w:rsid w:val="00452528"/>
    <w:rsid w:val="00483314"/>
    <w:rsid w:val="00495644"/>
    <w:rsid w:val="00497119"/>
    <w:rsid w:val="004B0E84"/>
    <w:rsid w:val="004B24B6"/>
    <w:rsid w:val="004B47CE"/>
    <w:rsid w:val="004E6089"/>
    <w:rsid w:val="0053275E"/>
    <w:rsid w:val="00532E4F"/>
    <w:rsid w:val="0057400D"/>
    <w:rsid w:val="00586362"/>
    <w:rsid w:val="00591CFF"/>
    <w:rsid w:val="005B06A3"/>
    <w:rsid w:val="005B76A6"/>
    <w:rsid w:val="005E3D16"/>
    <w:rsid w:val="005F02EF"/>
    <w:rsid w:val="00617C26"/>
    <w:rsid w:val="00627764"/>
    <w:rsid w:val="00654A36"/>
    <w:rsid w:val="00662D8C"/>
    <w:rsid w:val="00685D22"/>
    <w:rsid w:val="00695B37"/>
    <w:rsid w:val="006A460A"/>
    <w:rsid w:val="006B1853"/>
    <w:rsid w:val="006B702D"/>
    <w:rsid w:val="006E1771"/>
    <w:rsid w:val="006F0B8D"/>
    <w:rsid w:val="0074018F"/>
    <w:rsid w:val="00766099"/>
    <w:rsid w:val="007974E3"/>
    <w:rsid w:val="007A5D57"/>
    <w:rsid w:val="007C03C4"/>
    <w:rsid w:val="007C32B6"/>
    <w:rsid w:val="007F7603"/>
    <w:rsid w:val="008058BE"/>
    <w:rsid w:val="0081377C"/>
    <w:rsid w:val="00833DF4"/>
    <w:rsid w:val="00841B9E"/>
    <w:rsid w:val="00875374"/>
    <w:rsid w:val="00882BF0"/>
    <w:rsid w:val="00884501"/>
    <w:rsid w:val="00890BBA"/>
    <w:rsid w:val="008B0512"/>
    <w:rsid w:val="008B1381"/>
    <w:rsid w:val="008B386B"/>
    <w:rsid w:val="008C608B"/>
    <w:rsid w:val="008D4892"/>
    <w:rsid w:val="008E4443"/>
    <w:rsid w:val="008F05BE"/>
    <w:rsid w:val="008F0A18"/>
    <w:rsid w:val="0092764A"/>
    <w:rsid w:val="00950F97"/>
    <w:rsid w:val="00951E90"/>
    <w:rsid w:val="009662B3"/>
    <w:rsid w:val="00973260"/>
    <w:rsid w:val="009A2E20"/>
    <w:rsid w:val="009D412A"/>
    <w:rsid w:val="009D6DD2"/>
    <w:rsid w:val="009E02E3"/>
    <w:rsid w:val="009E0EC6"/>
    <w:rsid w:val="009F10C5"/>
    <w:rsid w:val="00A00707"/>
    <w:rsid w:val="00A01778"/>
    <w:rsid w:val="00A11E2F"/>
    <w:rsid w:val="00A24D6D"/>
    <w:rsid w:val="00A26BD9"/>
    <w:rsid w:val="00A5520B"/>
    <w:rsid w:val="00A577F1"/>
    <w:rsid w:val="00A6457D"/>
    <w:rsid w:val="00A74B72"/>
    <w:rsid w:val="00A800E3"/>
    <w:rsid w:val="00AA031D"/>
    <w:rsid w:val="00AB08D3"/>
    <w:rsid w:val="00AB1C26"/>
    <w:rsid w:val="00AC589E"/>
    <w:rsid w:val="00AD33FB"/>
    <w:rsid w:val="00AF5DEE"/>
    <w:rsid w:val="00B1689C"/>
    <w:rsid w:val="00B42FFB"/>
    <w:rsid w:val="00B54656"/>
    <w:rsid w:val="00B55036"/>
    <w:rsid w:val="00B90B1F"/>
    <w:rsid w:val="00B92380"/>
    <w:rsid w:val="00B9396F"/>
    <w:rsid w:val="00B97F15"/>
    <w:rsid w:val="00BA0511"/>
    <w:rsid w:val="00BC49F4"/>
    <w:rsid w:val="00BC66A9"/>
    <w:rsid w:val="00C03A1E"/>
    <w:rsid w:val="00C212FE"/>
    <w:rsid w:val="00C215E0"/>
    <w:rsid w:val="00C414E0"/>
    <w:rsid w:val="00C56B57"/>
    <w:rsid w:val="00C66543"/>
    <w:rsid w:val="00C7056A"/>
    <w:rsid w:val="00C747F9"/>
    <w:rsid w:val="00CB2D39"/>
    <w:rsid w:val="00CC4986"/>
    <w:rsid w:val="00CE56D5"/>
    <w:rsid w:val="00CF1030"/>
    <w:rsid w:val="00CF195C"/>
    <w:rsid w:val="00D02341"/>
    <w:rsid w:val="00D1285D"/>
    <w:rsid w:val="00D23BDB"/>
    <w:rsid w:val="00D369E8"/>
    <w:rsid w:val="00D578C6"/>
    <w:rsid w:val="00D75296"/>
    <w:rsid w:val="00D81C9E"/>
    <w:rsid w:val="00D90087"/>
    <w:rsid w:val="00DA2567"/>
    <w:rsid w:val="00DA688A"/>
    <w:rsid w:val="00DB7061"/>
    <w:rsid w:val="00DC3992"/>
    <w:rsid w:val="00DC44CC"/>
    <w:rsid w:val="00DC4E5C"/>
    <w:rsid w:val="00DC58D4"/>
    <w:rsid w:val="00DD7CE8"/>
    <w:rsid w:val="00E02A60"/>
    <w:rsid w:val="00E06029"/>
    <w:rsid w:val="00E631B4"/>
    <w:rsid w:val="00E66D76"/>
    <w:rsid w:val="00E84E3B"/>
    <w:rsid w:val="00E95B21"/>
    <w:rsid w:val="00ED307E"/>
    <w:rsid w:val="00EE5A6A"/>
    <w:rsid w:val="00F21EE0"/>
    <w:rsid w:val="00F25E66"/>
    <w:rsid w:val="00F36419"/>
    <w:rsid w:val="00F53DCC"/>
    <w:rsid w:val="00F71119"/>
    <w:rsid w:val="00F751D7"/>
    <w:rsid w:val="00F81A5B"/>
    <w:rsid w:val="00F8271C"/>
    <w:rsid w:val="00F934C5"/>
    <w:rsid w:val="00FB2D86"/>
    <w:rsid w:val="00FB4104"/>
    <w:rsid w:val="00FB7BA7"/>
    <w:rsid w:val="00FD1645"/>
    <w:rsid w:val="00FD168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63B08-1C18-4C3C-9FC4-7935BB08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8">
    <w:name w:val="rvps18"/>
    <w:basedOn w:val="Normal"/>
    <w:rsid w:val="00CE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56D5"/>
  </w:style>
  <w:style w:type="character" w:styleId="Hyperlink">
    <w:name w:val="Hyperlink"/>
    <w:basedOn w:val="DefaultParagraphFont"/>
    <w:uiPriority w:val="99"/>
    <w:unhideWhenUsed/>
    <w:rsid w:val="00CE56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56D5"/>
    <w:rPr>
      <w:rFonts w:ascii="Courier New" w:eastAsia="Times New Roman" w:hAnsi="Courier New" w:cs="Courier New"/>
      <w:sz w:val="20"/>
      <w:szCs w:val="20"/>
    </w:rPr>
  </w:style>
  <w:style w:type="paragraph" w:customStyle="1" w:styleId="rvps12">
    <w:name w:val="rvps12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9E0EC6"/>
  </w:style>
  <w:style w:type="character" w:customStyle="1" w:styleId="rvts82">
    <w:name w:val="rvts82"/>
    <w:basedOn w:val="DefaultParagraphFont"/>
    <w:rsid w:val="009E0EC6"/>
  </w:style>
  <w:style w:type="paragraph" w:customStyle="1" w:styleId="rvps2">
    <w:name w:val="rvps2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DefaultParagraphFont"/>
    <w:rsid w:val="009E0EC6"/>
  </w:style>
  <w:style w:type="character" w:customStyle="1" w:styleId="rvts37">
    <w:name w:val="rvts37"/>
    <w:basedOn w:val="DefaultParagraphFont"/>
    <w:rsid w:val="009E0EC6"/>
  </w:style>
  <w:style w:type="character" w:customStyle="1" w:styleId="rvts9">
    <w:name w:val="rvts9"/>
    <w:basedOn w:val="DefaultParagraphFont"/>
    <w:rsid w:val="009E0EC6"/>
  </w:style>
  <w:style w:type="paragraph" w:customStyle="1" w:styleId="rvps14">
    <w:name w:val="rvps14"/>
    <w:basedOn w:val="Normal"/>
    <w:rsid w:val="009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DefaultParagraphFont"/>
    <w:rsid w:val="009E0EC6"/>
  </w:style>
  <w:style w:type="paragraph" w:styleId="BalloonText">
    <w:name w:val="Balloon Text"/>
    <w:basedOn w:val="Normal"/>
    <w:link w:val="BalloonTextChar"/>
    <w:uiPriority w:val="99"/>
    <w:semiHidden/>
    <w:unhideWhenUsed/>
    <w:rsid w:val="009E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E90"/>
    <w:rPr>
      <w:b/>
      <w:bCs/>
      <w:sz w:val="20"/>
      <w:szCs w:val="20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14778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61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rvts23">
    <w:name w:val="rvts23"/>
    <w:rsid w:val="00617C26"/>
  </w:style>
  <w:style w:type="paragraph" w:styleId="FootnoteText">
    <w:name w:val="footnote text"/>
    <w:basedOn w:val="Normal"/>
    <w:link w:val="FootnoteTextChar"/>
    <w:uiPriority w:val="99"/>
    <w:semiHidden/>
    <w:unhideWhenUsed/>
    <w:rsid w:val="00617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C26"/>
    <w:rPr>
      <w:vertAlign w:val="superscript"/>
    </w:rPr>
  </w:style>
  <w:style w:type="paragraph" w:customStyle="1" w:styleId="newncpi0">
    <w:name w:val="newncpi0"/>
    <w:basedOn w:val="Normal"/>
    <w:rsid w:val="00CF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CF195C"/>
  </w:style>
  <w:style w:type="character" w:customStyle="1" w:styleId="promulgator">
    <w:name w:val="promulgator"/>
    <w:basedOn w:val="DefaultParagraphFont"/>
    <w:rsid w:val="00CF195C"/>
  </w:style>
  <w:style w:type="character" w:customStyle="1" w:styleId="datepr">
    <w:name w:val="datepr"/>
    <w:basedOn w:val="DefaultParagraphFont"/>
    <w:rsid w:val="00CF195C"/>
  </w:style>
  <w:style w:type="character" w:customStyle="1" w:styleId="number">
    <w:name w:val="number"/>
    <w:basedOn w:val="DefaultParagraphFont"/>
    <w:rsid w:val="00CF195C"/>
  </w:style>
  <w:style w:type="paragraph" w:customStyle="1" w:styleId="newncpi">
    <w:name w:val="newncpi"/>
    <w:basedOn w:val="Normal"/>
    <w:rsid w:val="008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83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15"/>
  </w:style>
  <w:style w:type="paragraph" w:styleId="Footer">
    <w:name w:val="footer"/>
    <w:basedOn w:val="Normal"/>
    <w:link w:val="FooterChar"/>
    <w:uiPriority w:val="99"/>
    <w:unhideWhenUsed/>
    <w:rsid w:val="00B9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15"/>
  </w:style>
  <w:style w:type="paragraph" w:styleId="ListParagraph">
    <w:name w:val="List Paragraph"/>
    <w:basedOn w:val="Normal"/>
    <w:uiPriority w:val="34"/>
    <w:qFormat/>
    <w:rsid w:val="00BC66A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C58D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8D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TableGrid">
    <w:name w:val="Table Grid"/>
    <w:basedOn w:val="TableNormal"/>
    <w:uiPriority w:val="39"/>
    <w:rsid w:val="00BA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FB47-4BD2-47C0-BF1E-21B7AEAC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 Panchenko</dc:creator>
  <cp:lastModifiedBy>Denis Malyuska</cp:lastModifiedBy>
  <cp:revision>198</cp:revision>
  <cp:lastPrinted>2015-03-29T15:11:00Z</cp:lastPrinted>
  <dcterms:created xsi:type="dcterms:W3CDTF">2015-12-11T11:04:00Z</dcterms:created>
  <dcterms:modified xsi:type="dcterms:W3CDTF">2015-12-11T14:24:00Z</dcterms:modified>
</cp:coreProperties>
</file>