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3F79" w14:textId="77777777" w:rsidR="00E020F3" w:rsidRPr="00443855" w:rsidRDefault="002F5164" w:rsidP="00443855">
      <w:pPr>
        <w:spacing w:after="120"/>
        <w:jc w:val="center"/>
        <w:rPr>
          <w:sz w:val="28"/>
          <w:szCs w:val="28"/>
          <w:lang w:val="uk-UA" w:eastAsia="uk-UA"/>
        </w:rPr>
      </w:pPr>
      <w:r w:rsidRPr="00443855">
        <w:rPr>
          <w:b/>
          <w:sz w:val="28"/>
          <w:szCs w:val="28"/>
          <w:lang w:val="uk-UA"/>
        </w:rPr>
        <w:t>ПОЯСНЮВАЛЬНА ЗАПИСКА</w:t>
      </w:r>
      <w:r w:rsidR="00443855" w:rsidRPr="00443855">
        <w:rPr>
          <w:b/>
          <w:sz w:val="28"/>
          <w:szCs w:val="28"/>
          <w:lang w:val="uk-UA"/>
        </w:rPr>
        <w:br/>
      </w:r>
      <w:r w:rsidRPr="00443855">
        <w:rPr>
          <w:b/>
          <w:sz w:val="28"/>
          <w:szCs w:val="28"/>
          <w:lang w:val="uk-UA"/>
        </w:rPr>
        <w:t xml:space="preserve">до </w:t>
      </w:r>
      <w:r w:rsidR="00F02065" w:rsidRPr="00443855">
        <w:rPr>
          <w:b/>
          <w:sz w:val="28"/>
          <w:szCs w:val="28"/>
          <w:lang w:val="uk-UA"/>
        </w:rPr>
        <w:t>проекту постан</w:t>
      </w:r>
      <w:r w:rsidR="00E020F3" w:rsidRPr="00443855">
        <w:rPr>
          <w:b/>
          <w:sz w:val="28"/>
          <w:szCs w:val="28"/>
          <w:lang w:val="uk-UA"/>
        </w:rPr>
        <w:t>ови Кабінету Міністрів України «Про внесення змін у додаток до поста</w:t>
      </w:r>
      <w:r w:rsidR="00443855" w:rsidRPr="00443855">
        <w:rPr>
          <w:b/>
          <w:sz w:val="28"/>
          <w:szCs w:val="28"/>
          <w:lang w:val="uk-UA"/>
        </w:rPr>
        <w:t>нови Кабінету Міністрів України</w:t>
      </w:r>
      <w:r w:rsidR="00443855" w:rsidRPr="00443855">
        <w:rPr>
          <w:b/>
          <w:sz w:val="28"/>
          <w:szCs w:val="28"/>
          <w:lang w:val="uk-UA"/>
        </w:rPr>
        <w:br/>
      </w:r>
      <w:r w:rsidR="00E020F3" w:rsidRPr="00443855">
        <w:rPr>
          <w:b/>
          <w:sz w:val="28"/>
          <w:szCs w:val="28"/>
          <w:lang w:val="uk-UA"/>
        </w:rPr>
        <w:t>від 27 червня 2003 р. № 992</w:t>
      </w:r>
      <w:r w:rsidR="00E020F3" w:rsidRPr="00443855">
        <w:rPr>
          <w:sz w:val="28"/>
          <w:szCs w:val="28"/>
          <w:lang w:val="uk-UA"/>
        </w:rPr>
        <w:t xml:space="preserve">» </w:t>
      </w:r>
    </w:p>
    <w:p w14:paraId="0929D5F5" w14:textId="77777777" w:rsidR="00E73533" w:rsidRPr="00443855" w:rsidRDefault="00E73533" w:rsidP="00443855">
      <w:pPr>
        <w:pStyle w:val="a5"/>
        <w:spacing w:after="120"/>
        <w:rPr>
          <w:rFonts w:ascii="Times New Roman" w:hAnsi="Times New Roman" w:cs="Times New Roman"/>
          <w:sz w:val="28"/>
          <w:szCs w:val="28"/>
          <w:lang w:val="uk-UA"/>
        </w:rPr>
      </w:pPr>
    </w:p>
    <w:p w14:paraId="2501D90B" w14:textId="77777777" w:rsidR="002F5164" w:rsidRPr="00443855" w:rsidRDefault="002F5164" w:rsidP="00443855">
      <w:pPr>
        <w:spacing w:after="120"/>
        <w:ind w:firstLine="709"/>
        <w:jc w:val="both"/>
        <w:rPr>
          <w:b/>
          <w:sz w:val="28"/>
          <w:szCs w:val="28"/>
          <w:lang w:val="uk-UA"/>
        </w:rPr>
      </w:pPr>
      <w:r w:rsidRPr="00443855">
        <w:rPr>
          <w:b/>
          <w:sz w:val="28"/>
          <w:szCs w:val="28"/>
          <w:lang w:val="uk-UA"/>
        </w:rPr>
        <w:t>1. Обґрунтування необхідності прийняття постанови</w:t>
      </w:r>
    </w:p>
    <w:p w14:paraId="52F047F2" w14:textId="08676079" w:rsidR="00461F47" w:rsidRPr="00443855" w:rsidRDefault="002F5164"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 xml:space="preserve">Проект постанови Кабінету Міністрів України </w:t>
      </w:r>
      <w:r w:rsidR="000B2E58" w:rsidRPr="00443855">
        <w:rPr>
          <w:rFonts w:ascii="Times New Roman" w:hAnsi="Times New Roman"/>
          <w:sz w:val="28"/>
          <w:szCs w:val="28"/>
        </w:rPr>
        <w:t>"</w:t>
      </w:r>
      <w:r w:rsidR="00E020F3" w:rsidRPr="00443855">
        <w:rPr>
          <w:rFonts w:ascii="Times New Roman" w:hAnsi="Times New Roman"/>
          <w:sz w:val="28"/>
          <w:szCs w:val="28"/>
        </w:rPr>
        <w:t>Про внесення змін у додаток до постанови Кабінету Міністрів України від 27 червня 2003 р. №</w:t>
      </w:r>
      <w:r w:rsidR="00443855">
        <w:rPr>
          <w:rFonts w:ascii="Times New Roman" w:hAnsi="Times New Roman"/>
          <w:sz w:val="28"/>
          <w:szCs w:val="28"/>
          <w:lang w:val="ru-RU"/>
        </w:rPr>
        <w:t> </w:t>
      </w:r>
      <w:r w:rsidR="00E020F3" w:rsidRPr="00443855">
        <w:rPr>
          <w:rFonts w:ascii="Times New Roman" w:hAnsi="Times New Roman"/>
          <w:sz w:val="28"/>
          <w:szCs w:val="28"/>
        </w:rPr>
        <w:t>992</w:t>
      </w:r>
      <w:r w:rsidR="000B2E58" w:rsidRPr="00443855">
        <w:rPr>
          <w:rFonts w:ascii="Times New Roman" w:hAnsi="Times New Roman"/>
          <w:sz w:val="28"/>
          <w:szCs w:val="28"/>
        </w:rPr>
        <w:t>"</w:t>
      </w:r>
      <w:r w:rsidRPr="00443855">
        <w:rPr>
          <w:rFonts w:ascii="Times New Roman" w:hAnsi="Times New Roman"/>
          <w:sz w:val="28"/>
          <w:szCs w:val="28"/>
        </w:rPr>
        <w:t xml:space="preserve"> (далі</w:t>
      </w:r>
      <w:r w:rsidR="00443855" w:rsidRPr="001313C0">
        <w:rPr>
          <w:rFonts w:ascii="Times New Roman" w:hAnsi="Times New Roman"/>
          <w:sz w:val="28"/>
          <w:szCs w:val="28"/>
        </w:rPr>
        <w:t xml:space="preserve"> </w:t>
      </w:r>
      <w:r w:rsidRPr="00443855">
        <w:rPr>
          <w:rFonts w:ascii="Times New Roman" w:hAnsi="Times New Roman"/>
          <w:sz w:val="28"/>
          <w:szCs w:val="28"/>
        </w:rPr>
        <w:t xml:space="preserve">– </w:t>
      </w:r>
      <w:r w:rsidR="009075A2" w:rsidRPr="00443855">
        <w:rPr>
          <w:rFonts w:ascii="Times New Roman" w:hAnsi="Times New Roman"/>
          <w:sz w:val="28"/>
          <w:szCs w:val="28"/>
        </w:rPr>
        <w:t>П</w:t>
      </w:r>
      <w:r w:rsidRPr="00443855">
        <w:rPr>
          <w:rFonts w:ascii="Times New Roman" w:hAnsi="Times New Roman"/>
          <w:sz w:val="28"/>
          <w:szCs w:val="28"/>
        </w:rPr>
        <w:t>роект постанови) розроблено Міністерством економіч</w:t>
      </w:r>
      <w:r w:rsidR="009075A2" w:rsidRPr="00443855">
        <w:rPr>
          <w:rFonts w:ascii="Times New Roman" w:hAnsi="Times New Roman"/>
          <w:sz w:val="28"/>
          <w:szCs w:val="28"/>
        </w:rPr>
        <w:t xml:space="preserve">ного розвитку і торгівлі. Проект постанови покликаний змінити </w:t>
      </w:r>
      <w:r w:rsidR="00203EF7">
        <w:rPr>
          <w:rFonts w:ascii="Times New Roman" w:hAnsi="Times New Roman"/>
          <w:sz w:val="28"/>
          <w:szCs w:val="28"/>
        </w:rPr>
        <w:t xml:space="preserve">та істотно скоротити </w:t>
      </w:r>
      <w:r w:rsidR="009075A2" w:rsidRPr="00443855">
        <w:rPr>
          <w:rFonts w:ascii="Times New Roman" w:hAnsi="Times New Roman"/>
          <w:sz w:val="28"/>
          <w:szCs w:val="28"/>
        </w:rPr>
        <w:t>перелік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w:t>
      </w:r>
      <w:r w:rsidR="007C4F72" w:rsidRPr="00443855">
        <w:rPr>
          <w:rFonts w:ascii="Times New Roman" w:hAnsi="Times New Roman"/>
          <w:sz w:val="28"/>
          <w:szCs w:val="28"/>
        </w:rPr>
        <w:t xml:space="preserve"> (надалі – обладнання)</w:t>
      </w:r>
      <w:r w:rsidR="009075A2" w:rsidRPr="00443855">
        <w:rPr>
          <w:rFonts w:ascii="Times New Roman" w:hAnsi="Times New Roman"/>
          <w:sz w:val="28"/>
          <w:szCs w:val="28"/>
        </w:rPr>
        <w:t xml:space="preserve">, від вартості яких виробники та імпортери </w:t>
      </w:r>
      <w:r w:rsidR="00443855" w:rsidRPr="001313C0">
        <w:rPr>
          <w:rFonts w:ascii="Times New Roman" w:hAnsi="Times New Roman"/>
          <w:sz w:val="28"/>
          <w:szCs w:val="28"/>
        </w:rPr>
        <w:t xml:space="preserve">такого </w:t>
      </w:r>
      <w:r w:rsidR="00443855">
        <w:rPr>
          <w:rFonts w:ascii="Times New Roman" w:hAnsi="Times New Roman"/>
          <w:sz w:val="28"/>
          <w:szCs w:val="28"/>
        </w:rPr>
        <w:t xml:space="preserve">обладнання </w:t>
      </w:r>
      <w:r w:rsidR="009075A2" w:rsidRPr="00443855">
        <w:rPr>
          <w:rFonts w:ascii="Times New Roman" w:hAnsi="Times New Roman"/>
          <w:sz w:val="28"/>
          <w:szCs w:val="28"/>
        </w:rPr>
        <w:t>сплачую</w:t>
      </w:r>
      <w:r w:rsidR="00EF5444" w:rsidRPr="00443855">
        <w:rPr>
          <w:rFonts w:ascii="Times New Roman" w:hAnsi="Times New Roman"/>
          <w:sz w:val="28"/>
          <w:szCs w:val="28"/>
        </w:rPr>
        <w:t>т</w:t>
      </w:r>
      <w:r w:rsidR="009075A2" w:rsidRPr="00443855">
        <w:rPr>
          <w:rFonts w:ascii="Times New Roman" w:hAnsi="Times New Roman"/>
          <w:sz w:val="28"/>
          <w:szCs w:val="28"/>
        </w:rPr>
        <w:t>ь відрахування уповноваженим організаціям колективного управління</w:t>
      </w:r>
      <w:r w:rsidR="00A94379">
        <w:rPr>
          <w:rFonts w:ascii="Times New Roman" w:hAnsi="Times New Roman"/>
          <w:sz w:val="28"/>
          <w:szCs w:val="28"/>
        </w:rPr>
        <w:t xml:space="preserve"> (надалі – відрахування)</w:t>
      </w:r>
      <w:r w:rsidR="009075A2" w:rsidRPr="00443855">
        <w:rPr>
          <w:rFonts w:ascii="Times New Roman" w:hAnsi="Times New Roman"/>
          <w:sz w:val="28"/>
          <w:szCs w:val="28"/>
        </w:rPr>
        <w:t>.</w:t>
      </w:r>
    </w:p>
    <w:p w14:paraId="50786419" w14:textId="77777777" w:rsidR="00AC016F" w:rsidRDefault="009075A2"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 xml:space="preserve">Відповідно до статті 42 Закону України «Про авторське право і суміжні права» </w:t>
      </w:r>
      <w:r w:rsidR="007C4F72" w:rsidRPr="00443855">
        <w:rPr>
          <w:rFonts w:ascii="Times New Roman" w:hAnsi="Times New Roman"/>
          <w:sz w:val="28"/>
          <w:szCs w:val="28"/>
        </w:rPr>
        <w:t>допускається</w:t>
      </w:r>
      <w:r w:rsidR="00D75A78" w:rsidRPr="00443855">
        <w:rPr>
          <w:rFonts w:ascii="Times New Roman" w:hAnsi="Times New Roman"/>
          <w:sz w:val="28"/>
          <w:szCs w:val="28"/>
        </w:rPr>
        <w:t xml:space="preserve"> </w:t>
      </w:r>
      <w:r w:rsidR="007C4F72" w:rsidRPr="00443855">
        <w:rPr>
          <w:rFonts w:ascii="Times New Roman" w:hAnsi="Times New Roman"/>
          <w:sz w:val="28"/>
          <w:szCs w:val="28"/>
        </w:rPr>
        <w:t>відтворення</w:t>
      </w:r>
      <w:r w:rsidR="00D75A78" w:rsidRPr="00443855">
        <w:rPr>
          <w:rFonts w:ascii="Times New Roman" w:hAnsi="Times New Roman"/>
          <w:sz w:val="28"/>
          <w:szCs w:val="28"/>
        </w:rPr>
        <w:t xml:space="preserve"> </w:t>
      </w:r>
      <w:r w:rsidR="007C4F72" w:rsidRPr="00443855">
        <w:rPr>
          <w:rFonts w:ascii="Times New Roman" w:hAnsi="Times New Roman"/>
          <w:sz w:val="28"/>
          <w:szCs w:val="28"/>
        </w:rPr>
        <w:t>в</w:t>
      </w:r>
      <w:r w:rsidR="00D75A78" w:rsidRPr="00443855">
        <w:rPr>
          <w:rFonts w:ascii="Times New Roman" w:hAnsi="Times New Roman"/>
          <w:sz w:val="28"/>
          <w:szCs w:val="28"/>
        </w:rPr>
        <w:t xml:space="preserve"> </w:t>
      </w:r>
      <w:r w:rsidR="007C4F72" w:rsidRPr="00443855">
        <w:rPr>
          <w:rFonts w:ascii="Times New Roman" w:hAnsi="Times New Roman"/>
          <w:sz w:val="28"/>
          <w:szCs w:val="28"/>
        </w:rPr>
        <w:t>домашніх умовах і виключно в особистих цілях творів</w:t>
      </w:r>
      <w:r w:rsidR="00D75A78" w:rsidRPr="00443855">
        <w:rPr>
          <w:rFonts w:ascii="Times New Roman" w:hAnsi="Times New Roman"/>
          <w:sz w:val="28"/>
          <w:szCs w:val="28"/>
        </w:rPr>
        <w:t xml:space="preserve"> </w:t>
      </w:r>
      <w:r w:rsidR="007C4F72" w:rsidRPr="00443855">
        <w:rPr>
          <w:rFonts w:ascii="Times New Roman" w:hAnsi="Times New Roman"/>
          <w:sz w:val="28"/>
          <w:szCs w:val="28"/>
        </w:rPr>
        <w:t>і</w:t>
      </w:r>
      <w:r w:rsidR="00D75A78" w:rsidRPr="00443855">
        <w:rPr>
          <w:rFonts w:ascii="Times New Roman" w:hAnsi="Times New Roman"/>
          <w:sz w:val="28"/>
          <w:szCs w:val="28"/>
        </w:rPr>
        <w:t xml:space="preserve"> </w:t>
      </w:r>
      <w:r w:rsidR="007C4F72" w:rsidRPr="00443855">
        <w:rPr>
          <w:rFonts w:ascii="Times New Roman" w:hAnsi="Times New Roman"/>
          <w:sz w:val="28"/>
          <w:szCs w:val="28"/>
        </w:rPr>
        <w:t>виконань,</w:t>
      </w:r>
      <w:r w:rsidR="00D75A78" w:rsidRPr="00443855">
        <w:rPr>
          <w:rFonts w:ascii="Times New Roman" w:hAnsi="Times New Roman"/>
          <w:sz w:val="28"/>
          <w:szCs w:val="28"/>
        </w:rPr>
        <w:t xml:space="preserve"> </w:t>
      </w:r>
      <w:r w:rsidR="007C4F72" w:rsidRPr="00443855">
        <w:rPr>
          <w:rFonts w:ascii="Times New Roman" w:hAnsi="Times New Roman"/>
          <w:sz w:val="28"/>
          <w:szCs w:val="28"/>
        </w:rPr>
        <w:t>зафіксованих</w:t>
      </w:r>
      <w:r w:rsidR="00D75A78" w:rsidRPr="00443855">
        <w:rPr>
          <w:rFonts w:ascii="Times New Roman" w:hAnsi="Times New Roman"/>
          <w:sz w:val="28"/>
          <w:szCs w:val="28"/>
        </w:rPr>
        <w:t xml:space="preserve"> </w:t>
      </w:r>
      <w:r w:rsidR="007C4F72" w:rsidRPr="00443855">
        <w:rPr>
          <w:rFonts w:ascii="Times New Roman" w:hAnsi="Times New Roman"/>
          <w:sz w:val="28"/>
          <w:szCs w:val="28"/>
        </w:rPr>
        <w:t>у</w:t>
      </w:r>
      <w:r w:rsidR="00D75A78" w:rsidRPr="00443855">
        <w:rPr>
          <w:rFonts w:ascii="Times New Roman" w:hAnsi="Times New Roman"/>
          <w:sz w:val="28"/>
          <w:szCs w:val="28"/>
        </w:rPr>
        <w:t xml:space="preserve"> </w:t>
      </w:r>
      <w:r w:rsidR="007C4F72" w:rsidRPr="00443855">
        <w:rPr>
          <w:rFonts w:ascii="Times New Roman" w:hAnsi="Times New Roman"/>
          <w:sz w:val="28"/>
          <w:szCs w:val="28"/>
        </w:rPr>
        <w:t>фонограмах, відеограмах</w:t>
      </w:r>
      <w:r w:rsidR="00D75A78" w:rsidRPr="00443855">
        <w:rPr>
          <w:rFonts w:ascii="Times New Roman" w:hAnsi="Times New Roman"/>
          <w:sz w:val="28"/>
          <w:szCs w:val="28"/>
        </w:rPr>
        <w:t xml:space="preserve"> </w:t>
      </w:r>
      <w:r w:rsidR="007C4F72" w:rsidRPr="00443855">
        <w:rPr>
          <w:rFonts w:ascii="Times New Roman" w:hAnsi="Times New Roman"/>
          <w:sz w:val="28"/>
          <w:szCs w:val="28"/>
        </w:rPr>
        <w:t>і</w:t>
      </w:r>
      <w:r w:rsidR="00D75A78" w:rsidRPr="00443855">
        <w:rPr>
          <w:rFonts w:ascii="Times New Roman" w:hAnsi="Times New Roman"/>
          <w:sz w:val="28"/>
          <w:szCs w:val="28"/>
        </w:rPr>
        <w:t xml:space="preserve"> </w:t>
      </w:r>
      <w:r w:rsidR="007C4F72" w:rsidRPr="00443855">
        <w:rPr>
          <w:rFonts w:ascii="Times New Roman" w:hAnsi="Times New Roman"/>
          <w:sz w:val="28"/>
          <w:szCs w:val="28"/>
        </w:rPr>
        <w:t>їх</w:t>
      </w:r>
      <w:r w:rsidR="00D75A78" w:rsidRPr="00443855">
        <w:rPr>
          <w:rFonts w:ascii="Times New Roman" w:hAnsi="Times New Roman"/>
          <w:sz w:val="28"/>
          <w:szCs w:val="28"/>
        </w:rPr>
        <w:t xml:space="preserve"> </w:t>
      </w:r>
      <w:r w:rsidR="007C4F72" w:rsidRPr="00443855">
        <w:rPr>
          <w:rFonts w:ascii="Times New Roman" w:hAnsi="Times New Roman"/>
          <w:sz w:val="28"/>
          <w:szCs w:val="28"/>
        </w:rPr>
        <w:t>примірниках,</w:t>
      </w:r>
      <w:r w:rsidR="00D75A78" w:rsidRPr="00443855">
        <w:rPr>
          <w:rFonts w:ascii="Times New Roman" w:hAnsi="Times New Roman"/>
          <w:sz w:val="28"/>
          <w:szCs w:val="28"/>
        </w:rPr>
        <w:t xml:space="preserve"> </w:t>
      </w:r>
      <w:r w:rsidR="007C4F72" w:rsidRPr="00443855">
        <w:rPr>
          <w:rFonts w:ascii="Times New Roman" w:hAnsi="Times New Roman"/>
          <w:sz w:val="28"/>
          <w:szCs w:val="28"/>
        </w:rPr>
        <w:t>без</w:t>
      </w:r>
      <w:r w:rsidR="00D75A78" w:rsidRPr="00443855">
        <w:rPr>
          <w:rFonts w:ascii="Times New Roman" w:hAnsi="Times New Roman"/>
          <w:sz w:val="28"/>
          <w:szCs w:val="28"/>
        </w:rPr>
        <w:t xml:space="preserve"> </w:t>
      </w:r>
      <w:r w:rsidR="007C4F72" w:rsidRPr="00443855">
        <w:rPr>
          <w:rFonts w:ascii="Times New Roman" w:hAnsi="Times New Roman"/>
          <w:sz w:val="28"/>
          <w:szCs w:val="28"/>
        </w:rPr>
        <w:t>згоди</w:t>
      </w:r>
      <w:r w:rsidR="00D75A78" w:rsidRPr="00443855">
        <w:rPr>
          <w:rFonts w:ascii="Times New Roman" w:hAnsi="Times New Roman"/>
          <w:sz w:val="28"/>
          <w:szCs w:val="28"/>
        </w:rPr>
        <w:t xml:space="preserve"> </w:t>
      </w:r>
      <w:r w:rsidR="007C4F72" w:rsidRPr="00443855">
        <w:rPr>
          <w:rFonts w:ascii="Times New Roman" w:hAnsi="Times New Roman"/>
          <w:sz w:val="28"/>
          <w:szCs w:val="28"/>
        </w:rPr>
        <w:t>автора</w:t>
      </w:r>
      <w:r w:rsidR="00D75A78" w:rsidRPr="00443855">
        <w:rPr>
          <w:rFonts w:ascii="Times New Roman" w:hAnsi="Times New Roman"/>
          <w:sz w:val="28"/>
          <w:szCs w:val="28"/>
        </w:rPr>
        <w:t xml:space="preserve"> </w:t>
      </w:r>
      <w:r w:rsidR="007C4F72" w:rsidRPr="00443855">
        <w:rPr>
          <w:rFonts w:ascii="Times New Roman" w:hAnsi="Times New Roman"/>
          <w:sz w:val="28"/>
          <w:szCs w:val="28"/>
        </w:rPr>
        <w:t>(авторів), виконавців і виробників фонограм (відеограм)</w:t>
      </w:r>
      <w:r w:rsidR="00AC016F">
        <w:rPr>
          <w:rFonts w:ascii="Times New Roman" w:hAnsi="Times New Roman"/>
          <w:sz w:val="28"/>
          <w:szCs w:val="28"/>
        </w:rPr>
        <w:t xml:space="preserve"> (надалі – авторів)</w:t>
      </w:r>
      <w:r w:rsidR="007C4F72" w:rsidRPr="00443855">
        <w:rPr>
          <w:rFonts w:ascii="Times New Roman" w:hAnsi="Times New Roman"/>
          <w:sz w:val="28"/>
          <w:szCs w:val="28"/>
        </w:rPr>
        <w:t xml:space="preserve">. </w:t>
      </w:r>
    </w:p>
    <w:p w14:paraId="6704FDA8" w14:textId="527885EB" w:rsidR="007C4F72" w:rsidRPr="00443855" w:rsidRDefault="007C4F72"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 xml:space="preserve">При цьому з метою винагороди авторів за такі відтворення передбачено, що імпортери та виробники обладнання сплачують уповноваженим організаціям колективного управління (надалі – уповноважені ОКУ) відрахування у вигляді відсотків від вартості обладнання. </w:t>
      </w:r>
      <w:r w:rsidR="00EE07BA">
        <w:rPr>
          <w:rFonts w:ascii="Times New Roman" w:hAnsi="Times New Roman"/>
          <w:sz w:val="28"/>
          <w:szCs w:val="28"/>
        </w:rPr>
        <w:t xml:space="preserve">Відповідно до частини 7 статті 42 </w:t>
      </w:r>
      <w:r w:rsidR="00EE07BA" w:rsidRPr="00EE07BA">
        <w:rPr>
          <w:rFonts w:ascii="Times New Roman" w:hAnsi="Times New Roman"/>
          <w:sz w:val="28"/>
          <w:szCs w:val="28"/>
        </w:rPr>
        <w:t>Закону України «Про авторське право і суміжні права»</w:t>
      </w:r>
      <w:r w:rsidR="00EE07BA">
        <w:rPr>
          <w:rFonts w:ascii="Times New Roman" w:hAnsi="Times New Roman"/>
          <w:sz w:val="28"/>
          <w:szCs w:val="28"/>
        </w:rPr>
        <w:t xml:space="preserve"> з</w:t>
      </w:r>
      <w:r w:rsidR="007D3636" w:rsidRPr="00443855">
        <w:rPr>
          <w:rFonts w:ascii="Times New Roman" w:hAnsi="Times New Roman"/>
          <w:sz w:val="28"/>
          <w:szCs w:val="28"/>
        </w:rPr>
        <w:t>ібрані таким чином кошти мають розподілятися у таких пропорціях: авторам - 50 відсотків, виконавцям - 25 відсотків і виробникам фонограм (відеограм) - 25 відсотків.</w:t>
      </w:r>
    </w:p>
    <w:p w14:paraId="1B1A4376" w14:textId="74B6650E" w:rsidR="00F062E3" w:rsidRPr="00A94379" w:rsidRDefault="007C0725" w:rsidP="00443855">
      <w:pPr>
        <w:pStyle w:val="a8"/>
        <w:spacing w:before="0" w:after="120"/>
        <w:ind w:firstLine="709"/>
        <w:jc w:val="both"/>
        <w:rPr>
          <w:rFonts w:ascii="Times New Roman" w:hAnsi="Times New Roman"/>
          <w:sz w:val="28"/>
          <w:szCs w:val="28"/>
        </w:rPr>
      </w:pPr>
      <w:r>
        <w:rPr>
          <w:rFonts w:ascii="Times New Roman" w:hAnsi="Times New Roman"/>
          <w:sz w:val="28"/>
          <w:szCs w:val="28"/>
        </w:rPr>
        <w:t>Наразі в</w:t>
      </w:r>
      <w:r w:rsidR="00AC016F">
        <w:rPr>
          <w:rFonts w:ascii="Times New Roman" w:hAnsi="Times New Roman"/>
          <w:sz w:val="28"/>
          <w:szCs w:val="28"/>
        </w:rPr>
        <w:t>ідсутнє нормативно-правове регулювання механізму розподілення уповноваженими ОКУ зібраних кошів між авторами, виконавцями і виробниками фонограм (відеограм). Це ставить під сумнів справедливість та ефективність системи відрахувань загалом, оскільки за відсутності чітко визначеного та прозорого порядку розподілення коштів серед авторів уповноважені ОКУ можуть розподіляти зібрані кошти на власний розсуд</w:t>
      </w:r>
      <w:r>
        <w:rPr>
          <w:rFonts w:ascii="Times New Roman" w:hAnsi="Times New Roman"/>
          <w:sz w:val="28"/>
          <w:szCs w:val="28"/>
        </w:rPr>
        <w:t>, що не гарантує забезпечення рівних прав</w:t>
      </w:r>
      <w:r w:rsidR="00AC016F">
        <w:rPr>
          <w:rFonts w:ascii="Times New Roman" w:hAnsi="Times New Roman"/>
          <w:sz w:val="28"/>
          <w:szCs w:val="28"/>
        </w:rPr>
        <w:t>.</w:t>
      </w:r>
      <w:r w:rsidR="00C3712F" w:rsidRPr="001313C0">
        <w:rPr>
          <w:rFonts w:ascii="Times New Roman" w:hAnsi="Times New Roman"/>
          <w:sz w:val="28"/>
          <w:szCs w:val="28"/>
        </w:rPr>
        <w:t xml:space="preserve"> </w:t>
      </w:r>
      <w:r>
        <w:rPr>
          <w:rFonts w:ascii="Times New Roman" w:hAnsi="Times New Roman"/>
          <w:sz w:val="28"/>
          <w:szCs w:val="28"/>
        </w:rPr>
        <w:t>З інш</w:t>
      </w:r>
      <w:r w:rsidR="000A205D">
        <w:rPr>
          <w:rFonts w:ascii="Times New Roman" w:hAnsi="Times New Roman"/>
          <w:sz w:val="28"/>
          <w:szCs w:val="28"/>
        </w:rPr>
        <w:t xml:space="preserve">ого боку </w:t>
      </w:r>
      <w:r>
        <w:rPr>
          <w:rFonts w:ascii="Times New Roman" w:hAnsi="Times New Roman"/>
          <w:sz w:val="28"/>
          <w:szCs w:val="28"/>
        </w:rPr>
        <w:t xml:space="preserve">відсутня </w:t>
      </w:r>
      <w:r w:rsidR="00AC016F">
        <w:rPr>
          <w:rFonts w:ascii="Times New Roman" w:hAnsi="Times New Roman"/>
          <w:sz w:val="28"/>
          <w:szCs w:val="28"/>
        </w:rPr>
        <w:t>звітн</w:t>
      </w:r>
      <w:r>
        <w:rPr>
          <w:rFonts w:ascii="Times New Roman" w:hAnsi="Times New Roman"/>
          <w:sz w:val="28"/>
          <w:szCs w:val="28"/>
        </w:rPr>
        <w:t>ість</w:t>
      </w:r>
      <w:r w:rsidR="00AC016F">
        <w:rPr>
          <w:rFonts w:ascii="Times New Roman" w:hAnsi="Times New Roman"/>
          <w:sz w:val="28"/>
          <w:szCs w:val="28"/>
        </w:rPr>
        <w:t xml:space="preserve"> ОКУ щодо то</w:t>
      </w:r>
      <w:r>
        <w:rPr>
          <w:rFonts w:ascii="Times New Roman" w:hAnsi="Times New Roman"/>
          <w:sz w:val="28"/>
          <w:szCs w:val="28"/>
        </w:rPr>
        <w:t>го, на користь яких саме авторів були здійснені</w:t>
      </w:r>
      <w:r w:rsidR="00AC016F">
        <w:rPr>
          <w:rFonts w:ascii="Times New Roman" w:hAnsi="Times New Roman"/>
          <w:sz w:val="28"/>
          <w:szCs w:val="28"/>
        </w:rPr>
        <w:t xml:space="preserve"> виплати</w:t>
      </w:r>
      <w:r>
        <w:rPr>
          <w:rFonts w:ascii="Times New Roman" w:hAnsi="Times New Roman"/>
          <w:sz w:val="28"/>
          <w:szCs w:val="28"/>
        </w:rPr>
        <w:t xml:space="preserve"> та у яких розмірах</w:t>
      </w:r>
      <w:r w:rsidR="00AC016F">
        <w:rPr>
          <w:rFonts w:ascii="Times New Roman" w:hAnsi="Times New Roman"/>
          <w:sz w:val="28"/>
          <w:szCs w:val="28"/>
        </w:rPr>
        <w:t xml:space="preserve">. </w:t>
      </w:r>
    </w:p>
    <w:p w14:paraId="209D3B0A" w14:textId="136ED867" w:rsidR="007C0725" w:rsidRDefault="007C0725" w:rsidP="00443855">
      <w:pPr>
        <w:pStyle w:val="a8"/>
        <w:spacing w:before="0" w:after="120"/>
        <w:ind w:firstLine="709"/>
        <w:jc w:val="both"/>
        <w:rPr>
          <w:rFonts w:ascii="Times New Roman" w:hAnsi="Times New Roman"/>
          <w:sz w:val="28"/>
          <w:szCs w:val="28"/>
        </w:rPr>
      </w:pPr>
      <w:r>
        <w:rPr>
          <w:rFonts w:ascii="Times New Roman" w:hAnsi="Times New Roman"/>
          <w:sz w:val="28"/>
          <w:szCs w:val="28"/>
        </w:rPr>
        <w:t>При цьому навіть загальна інформація щодо зібраних та розподілених (або не розподілених) відрахувань, що знаходиться у розпорядженні Міністерства</w:t>
      </w:r>
      <w:r w:rsidRPr="007C0725">
        <w:rPr>
          <w:rFonts w:ascii="Times New Roman" w:hAnsi="Times New Roman"/>
          <w:sz w:val="28"/>
          <w:szCs w:val="28"/>
        </w:rPr>
        <w:t xml:space="preserve"> </w:t>
      </w:r>
      <w:r w:rsidRPr="00443855">
        <w:rPr>
          <w:rFonts w:ascii="Times New Roman" w:hAnsi="Times New Roman"/>
          <w:sz w:val="28"/>
          <w:szCs w:val="28"/>
        </w:rPr>
        <w:t>економічного розвитку і торгівлі</w:t>
      </w:r>
      <w:r>
        <w:rPr>
          <w:rFonts w:ascii="Times New Roman" w:hAnsi="Times New Roman"/>
          <w:sz w:val="28"/>
          <w:szCs w:val="28"/>
        </w:rPr>
        <w:t xml:space="preserve">, не може бути доступною для </w:t>
      </w:r>
      <w:r>
        <w:rPr>
          <w:rFonts w:ascii="Times New Roman" w:hAnsi="Times New Roman"/>
          <w:sz w:val="28"/>
          <w:szCs w:val="28"/>
        </w:rPr>
        <w:lastRenderedPageBreak/>
        <w:t xml:space="preserve">громадськості з огляду на </w:t>
      </w:r>
      <w:r w:rsidR="00203EF7">
        <w:rPr>
          <w:rFonts w:ascii="Times New Roman" w:hAnsi="Times New Roman"/>
          <w:sz w:val="28"/>
          <w:szCs w:val="28"/>
        </w:rPr>
        <w:t>нижчевикладене</w:t>
      </w:r>
      <w:r>
        <w:rPr>
          <w:rFonts w:ascii="Times New Roman" w:hAnsi="Times New Roman"/>
          <w:sz w:val="28"/>
          <w:szCs w:val="28"/>
        </w:rPr>
        <w:t>.</w:t>
      </w:r>
      <w:r w:rsidR="00C3712F">
        <w:rPr>
          <w:rFonts w:ascii="Times New Roman" w:hAnsi="Times New Roman"/>
          <w:sz w:val="28"/>
          <w:szCs w:val="28"/>
        </w:rPr>
        <w:t xml:space="preserve"> </w:t>
      </w:r>
      <w:r>
        <w:rPr>
          <w:rFonts w:ascii="Times New Roman" w:hAnsi="Times New Roman"/>
          <w:sz w:val="28"/>
          <w:szCs w:val="28"/>
        </w:rPr>
        <w:t xml:space="preserve">Пунктом 4 </w:t>
      </w:r>
      <w:r w:rsidRPr="007C0725">
        <w:rPr>
          <w:rFonts w:ascii="Times New Roman" w:hAnsi="Times New Roman"/>
          <w:sz w:val="28"/>
          <w:szCs w:val="28"/>
        </w:rPr>
        <w:t>Порядку обліку організацій колективного управління та здійснення нагляду за їх діяльністю</w:t>
      </w:r>
      <w:r>
        <w:rPr>
          <w:rFonts w:ascii="Times New Roman" w:hAnsi="Times New Roman"/>
          <w:sz w:val="28"/>
          <w:szCs w:val="28"/>
        </w:rPr>
        <w:t>, затвердженого наказом Міністерства освіти і науки від 21.05.2003 №</w:t>
      </w:r>
      <w:r w:rsidRPr="007C0725">
        <w:rPr>
          <w:rFonts w:ascii="Times New Roman" w:hAnsi="Times New Roman"/>
          <w:sz w:val="28"/>
          <w:szCs w:val="28"/>
        </w:rPr>
        <w:t xml:space="preserve"> 311</w:t>
      </w:r>
      <w:r w:rsidR="000A205D">
        <w:rPr>
          <w:rFonts w:ascii="Times New Roman" w:hAnsi="Times New Roman"/>
          <w:sz w:val="28"/>
          <w:szCs w:val="28"/>
        </w:rPr>
        <w:t>,</w:t>
      </w:r>
      <w:r>
        <w:rPr>
          <w:rFonts w:ascii="Times New Roman" w:hAnsi="Times New Roman"/>
          <w:sz w:val="28"/>
          <w:szCs w:val="28"/>
        </w:rPr>
        <w:t xml:space="preserve"> визначено, що інформація, одержана при виконанні функцій нагляду не може бути розголошена без згоди організації, крім випадків, які передбачені законодавством. </w:t>
      </w:r>
      <w:r w:rsidR="00203EF7">
        <w:rPr>
          <w:rFonts w:ascii="Times New Roman" w:hAnsi="Times New Roman"/>
          <w:sz w:val="28"/>
          <w:szCs w:val="28"/>
        </w:rPr>
        <w:t>Наказ Міністерства освіти і науки від 21.05.2003 №</w:t>
      </w:r>
      <w:r w:rsidR="00203EF7" w:rsidRPr="007C0725">
        <w:rPr>
          <w:rFonts w:ascii="Times New Roman" w:hAnsi="Times New Roman"/>
          <w:sz w:val="28"/>
          <w:szCs w:val="28"/>
        </w:rPr>
        <w:t xml:space="preserve"> 311</w:t>
      </w:r>
      <w:r w:rsidR="00203EF7">
        <w:rPr>
          <w:rFonts w:ascii="Times New Roman" w:hAnsi="Times New Roman"/>
          <w:sz w:val="28"/>
          <w:szCs w:val="28"/>
        </w:rPr>
        <w:t xml:space="preserve"> було скасовано р</w:t>
      </w:r>
      <w:r w:rsidR="00203EF7" w:rsidRPr="00203EF7">
        <w:rPr>
          <w:rFonts w:ascii="Times New Roman" w:hAnsi="Times New Roman"/>
          <w:sz w:val="28"/>
          <w:szCs w:val="28"/>
        </w:rPr>
        <w:t>озпорядження</w:t>
      </w:r>
      <w:r w:rsidR="00203EF7">
        <w:rPr>
          <w:rFonts w:ascii="Times New Roman" w:hAnsi="Times New Roman"/>
          <w:sz w:val="28"/>
          <w:szCs w:val="28"/>
        </w:rPr>
        <w:t xml:space="preserve">м КМУ </w:t>
      </w:r>
      <w:r w:rsidR="00203EF7" w:rsidRPr="00203EF7">
        <w:rPr>
          <w:rFonts w:ascii="Times New Roman" w:hAnsi="Times New Roman"/>
          <w:sz w:val="28"/>
          <w:szCs w:val="28"/>
        </w:rPr>
        <w:t>від 10.03.2017 № 169-р</w:t>
      </w:r>
      <w:r w:rsidR="00203EF7">
        <w:rPr>
          <w:rFonts w:ascii="Times New Roman" w:hAnsi="Times New Roman"/>
          <w:sz w:val="28"/>
          <w:szCs w:val="28"/>
        </w:rPr>
        <w:t>, він втратив чинність 21.05.2017. Однак відповідно до частини 2 статті 8 Закону України «</w:t>
      </w:r>
      <w:r w:rsidR="00203EF7" w:rsidRPr="00203EF7">
        <w:rPr>
          <w:rFonts w:ascii="Times New Roman" w:hAnsi="Times New Roman"/>
          <w:sz w:val="28"/>
          <w:szCs w:val="28"/>
        </w:rPr>
        <w:t>Про основні засади державного нагляду (контролю) у сфері господарської діяльності</w:t>
      </w:r>
      <w:r w:rsidR="00203EF7">
        <w:rPr>
          <w:rFonts w:ascii="Times New Roman" w:hAnsi="Times New Roman"/>
          <w:sz w:val="28"/>
          <w:szCs w:val="28"/>
        </w:rPr>
        <w:t>» о</w:t>
      </w:r>
      <w:r w:rsidR="00203EF7" w:rsidRPr="00203EF7">
        <w:rPr>
          <w:rFonts w:ascii="Times New Roman" w:hAnsi="Times New Roman"/>
          <w:sz w:val="28"/>
          <w:szCs w:val="28"/>
        </w:rPr>
        <w:t>ргани державного нагляду (контролю) та їх посадові особи під час здійснення заходів державного</w:t>
      </w:r>
      <w:r w:rsidR="00203EF7">
        <w:rPr>
          <w:rFonts w:ascii="Times New Roman" w:hAnsi="Times New Roman"/>
          <w:sz w:val="28"/>
          <w:szCs w:val="28"/>
        </w:rPr>
        <w:t xml:space="preserve"> нагляду (контролю) зобов'язані </w:t>
      </w:r>
      <w:r w:rsidR="00203EF7" w:rsidRPr="00203EF7">
        <w:rPr>
          <w:rFonts w:ascii="Times New Roman" w:hAnsi="Times New Roman"/>
          <w:sz w:val="28"/>
          <w:szCs w:val="28"/>
        </w:rPr>
        <w:t>забезпечувати нерозголошення комерційної таємниці та конфіденційної інформації суб'єкта господарювання, що стає доступною посадовим особам у ході здійснення державного нагляду (контролю)</w:t>
      </w:r>
      <w:r w:rsidR="00203EF7">
        <w:rPr>
          <w:rFonts w:ascii="Times New Roman" w:hAnsi="Times New Roman"/>
          <w:sz w:val="28"/>
          <w:szCs w:val="28"/>
        </w:rPr>
        <w:t xml:space="preserve">. У свою чергу суб’єкт господарювання відповідно до статті 10 зазначеного Закону має право </w:t>
      </w:r>
      <w:r w:rsidR="00203EF7" w:rsidRPr="00203EF7">
        <w:rPr>
          <w:rFonts w:ascii="Times New Roman" w:hAnsi="Times New Roman"/>
          <w:sz w:val="28"/>
          <w:szCs w:val="28"/>
        </w:rPr>
        <w:t>вимагати нерозголошення інформації, що становить комерційну таємницю або є конфіденційною інформацією суб’єкта господарювання</w:t>
      </w:r>
      <w:r w:rsidR="00203EF7">
        <w:rPr>
          <w:rFonts w:ascii="Times New Roman" w:hAnsi="Times New Roman"/>
          <w:sz w:val="28"/>
          <w:szCs w:val="28"/>
        </w:rPr>
        <w:t>.</w:t>
      </w:r>
    </w:p>
    <w:p w14:paraId="4167B579" w14:textId="52473F1E" w:rsidR="00203EF7" w:rsidRDefault="00C3712F" w:rsidP="00443855">
      <w:pPr>
        <w:pStyle w:val="a8"/>
        <w:spacing w:before="0" w:after="120"/>
        <w:ind w:firstLine="709"/>
        <w:jc w:val="both"/>
        <w:rPr>
          <w:rFonts w:ascii="Times New Roman" w:hAnsi="Times New Roman"/>
          <w:sz w:val="28"/>
          <w:szCs w:val="28"/>
        </w:rPr>
      </w:pPr>
      <w:r>
        <w:rPr>
          <w:rFonts w:ascii="Times New Roman" w:hAnsi="Times New Roman"/>
          <w:sz w:val="28"/>
          <w:szCs w:val="28"/>
        </w:rPr>
        <w:t>Також у суб’єктів господарювання виникають складнощі з огляду на те, що перелік обладнання містить перелік окремих</w:t>
      </w:r>
      <w:r w:rsidRPr="00A42558">
        <w:rPr>
          <w:rFonts w:ascii="Times New Roman" w:hAnsi="Times New Roman"/>
          <w:sz w:val="28"/>
          <w:szCs w:val="28"/>
        </w:rPr>
        <w:t xml:space="preserve"> родо</w:t>
      </w:r>
      <w:r>
        <w:rPr>
          <w:rFonts w:ascii="Times New Roman" w:hAnsi="Times New Roman"/>
          <w:sz w:val="28"/>
          <w:szCs w:val="28"/>
        </w:rPr>
        <w:t xml:space="preserve">вих об’єктів, віднесення до яких конкретної техніки є дискусійним: здійснення відрахувань здійснюється не за кодом УКТЗЕД обладнання, </w:t>
      </w:r>
      <w:r w:rsidRPr="001313C0">
        <w:rPr>
          <w:rFonts w:ascii="Times New Roman" w:hAnsi="Times New Roman"/>
          <w:sz w:val="28"/>
          <w:szCs w:val="28"/>
        </w:rPr>
        <w:t>а за описом родового об’</w:t>
      </w:r>
      <w:r>
        <w:rPr>
          <w:rFonts w:ascii="Times New Roman" w:hAnsi="Times New Roman"/>
          <w:sz w:val="28"/>
          <w:szCs w:val="28"/>
        </w:rPr>
        <w:t xml:space="preserve">єкта, наприклад </w:t>
      </w:r>
      <w:r w:rsidRPr="001313C0">
        <w:rPr>
          <w:rFonts w:ascii="Times New Roman" w:hAnsi="Times New Roman"/>
          <w:sz w:val="28"/>
          <w:szCs w:val="28"/>
        </w:rPr>
        <w:t>«</w:t>
      </w:r>
      <w:r>
        <w:rPr>
          <w:rFonts w:ascii="Times New Roman" w:hAnsi="Times New Roman"/>
          <w:sz w:val="28"/>
          <w:szCs w:val="28"/>
        </w:rPr>
        <w:t>т</w:t>
      </w:r>
      <w:r w:rsidRPr="00C3712F">
        <w:rPr>
          <w:rFonts w:ascii="Times New Roman" w:hAnsi="Times New Roman"/>
          <w:sz w:val="28"/>
          <w:szCs w:val="28"/>
        </w:rPr>
        <w:t>елевізор з відеомагнітофоном або жорстким диском, або програвачем для DVD-дисків з функцією запису, або функцією запису на флеш-картку</w:t>
      </w:r>
      <w:r w:rsidRPr="001313C0">
        <w:rPr>
          <w:rFonts w:ascii="Times New Roman" w:hAnsi="Times New Roman"/>
          <w:sz w:val="28"/>
          <w:szCs w:val="28"/>
        </w:rPr>
        <w:t>»</w:t>
      </w:r>
      <w:r>
        <w:rPr>
          <w:rFonts w:ascii="Times New Roman" w:hAnsi="Times New Roman"/>
          <w:sz w:val="28"/>
          <w:szCs w:val="28"/>
        </w:rPr>
        <w:t xml:space="preserve">). Це призводить </w:t>
      </w:r>
      <w:r w:rsidR="00F03968">
        <w:rPr>
          <w:rFonts w:ascii="Times New Roman" w:hAnsi="Times New Roman"/>
          <w:sz w:val="28"/>
          <w:szCs w:val="28"/>
        </w:rPr>
        <w:t xml:space="preserve">до </w:t>
      </w:r>
      <w:r>
        <w:rPr>
          <w:rFonts w:ascii="Times New Roman" w:hAnsi="Times New Roman"/>
          <w:sz w:val="28"/>
          <w:szCs w:val="28"/>
        </w:rPr>
        <w:t xml:space="preserve">судових спорів між уповноваженими ОКУ та імпортерами техніки. </w:t>
      </w:r>
    </w:p>
    <w:p w14:paraId="04A7B95D" w14:textId="6D7903A4" w:rsidR="00C3712F" w:rsidRDefault="009A27A2" w:rsidP="00443855">
      <w:pPr>
        <w:pStyle w:val="a8"/>
        <w:spacing w:before="0" w:after="120"/>
        <w:ind w:firstLine="709"/>
        <w:jc w:val="both"/>
        <w:rPr>
          <w:rFonts w:ascii="Times New Roman" w:hAnsi="Times New Roman"/>
          <w:sz w:val="28"/>
          <w:szCs w:val="28"/>
        </w:rPr>
      </w:pPr>
      <w:r>
        <w:rPr>
          <w:rFonts w:ascii="Times New Roman" w:hAnsi="Times New Roman"/>
          <w:sz w:val="28"/>
          <w:szCs w:val="28"/>
        </w:rPr>
        <w:t xml:space="preserve">Враховуючи те, що в Україні високий відсоток нелегального імпорту обладнання (наприклад, за оцінками </w:t>
      </w:r>
      <w:r w:rsidRPr="009A27A2">
        <w:rPr>
          <w:rFonts w:ascii="Times New Roman" w:hAnsi="Times New Roman"/>
          <w:sz w:val="28"/>
          <w:szCs w:val="28"/>
        </w:rPr>
        <w:t>GFK</w:t>
      </w:r>
      <w:r>
        <w:rPr>
          <w:rFonts w:ascii="Times New Roman" w:hAnsi="Times New Roman"/>
          <w:sz w:val="28"/>
          <w:szCs w:val="28"/>
        </w:rPr>
        <w:t xml:space="preserve"> до 20% відсотків продажів мобільних телефонів знаходиться у тіні), додаткове відрахування для офіційних імпортерів обладнання у поєднанні з навантаженням від судових спорів з уповноваженими ОКУ створює несприятливий бізнес-клімат для розвитку легального імпорту обладнання.</w:t>
      </w:r>
    </w:p>
    <w:p w14:paraId="52DB7F8F" w14:textId="7C60B5D8" w:rsidR="00DB5DE4" w:rsidRDefault="009A27A2" w:rsidP="003C69E1">
      <w:pPr>
        <w:pStyle w:val="a8"/>
        <w:spacing w:before="0" w:after="120"/>
        <w:ind w:firstLine="709"/>
        <w:jc w:val="both"/>
        <w:rPr>
          <w:rFonts w:ascii="Times New Roman" w:hAnsi="Times New Roman"/>
          <w:sz w:val="28"/>
          <w:szCs w:val="28"/>
        </w:rPr>
      </w:pPr>
      <w:r>
        <w:rPr>
          <w:rFonts w:ascii="Times New Roman" w:hAnsi="Times New Roman"/>
          <w:sz w:val="28"/>
          <w:szCs w:val="28"/>
        </w:rPr>
        <w:t>Разом з цим, відповідно до оцінки експертів та представників ОКУ</w:t>
      </w:r>
      <w:r w:rsidR="00836BC6">
        <w:rPr>
          <w:rFonts w:ascii="Times New Roman" w:hAnsi="Times New Roman"/>
          <w:sz w:val="28"/>
          <w:szCs w:val="28"/>
        </w:rPr>
        <w:t>,</w:t>
      </w:r>
      <w:r>
        <w:rPr>
          <w:rFonts w:ascii="Times New Roman" w:hAnsi="Times New Roman"/>
          <w:sz w:val="28"/>
          <w:szCs w:val="28"/>
        </w:rPr>
        <w:t xml:space="preserve"> загальна сума відрахувань на користь </w:t>
      </w:r>
      <w:r w:rsidR="00C50945">
        <w:rPr>
          <w:rFonts w:ascii="Times New Roman" w:hAnsi="Times New Roman"/>
          <w:sz w:val="28"/>
          <w:szCs w:val="28"/>
        </w:rPr>
        <w:t xml:space="preserve">уповноважених </w:t>
      </w:r>
      <w:r>
        <w:rPr>
          <w:rFonts w:ascii="Times New Roman" w:hAnsi="Times New Roman"/>
          <w:sz w:val="28"/>
          <w:szCs w:val="28"/>
        </w:rPr>
        <w:t xml:space="preserve">ОКУ за 2016 рік </w:t>
      </w:r>
      <w:r w:rsidR="00DB5DE4">
        <w:rPr>
          <w:rFonts w:ascii="Times New Roman" w:hAnsi="Times New Roman"/>
          <w:sz w:val="28"/>
          <w:szCs w:val="28"/>
        </w:rPr>
        <w:t xml:space="preserve">становить близько 6 млн грн. За експертними оцінками загальний обсяг авторської винагороди, що збирається ОКУ складає близько 70 млн грн на рік. Тобто відрахування </w:t>
      </w:r>
      <w:r w:rsidR="003C69E1">
        <w:rPr>
          <w:rFonts w:ascii="Times New Roman" w:hAnsi="Times New Roman"/>
          <w:sz w:val="28"/>
          <w:szCs w:val="28"/>
        </w:rPr>
        <w:t>забезпечують менше 9 відсотків надходжень ОКУ</w:t>
      </w:r>
      <w:r w:rsidR="00C50945">
        <w:rPr>
          <w:rFonts w:ascii="Times New Roman" w:hAnsi="Times New Roman"/>
          <w:sz w:val="28"/>
          <w:szCs w:val="28"/>
        </w:rPr>
        <w:t xml:space="preserve">. </w:t>
      </w:r>
    </w:p>
    <w:p w14:paraId="458401B4" w14:textId="73CBAD26" w:rsidR="007C4F72" w:rsidRPr="00443855" w:rsidRDefault="00DB5DE4" w:rsidP="00E9626A">
      <w:pPr>
        <w:pStyle w:val="a8"/>
        <w:spacing w:before="0" w:after="120"/>
        <w:ind w:firstLine="709"/>
        <w:jc w:val="both"/>
        <w:rPr>
          <w:rFonts w:ascii="Times New Roman" w:hAnsi="Times New Roman"/>
          <w:sz w:val="28"/>
          <w:szCs w:val="28"/>
        </w:rPr>
      </w:pPr>
      <w:r>
        <w:rPr>
          <w:rFonts w:ascii="Times New Roman" w:hAnsi="Times New Roman"/>
          <w:sz w:val="28"/>
          <w:szCs w:val="28"/>
        </w:rPr>
        <w:t>Від</w:t>
      </w:r>
      <w:r w:rsidR="00C50945">
        <w:rPr>
          <w:rFonts w:ascii="Times New Roman" w:hAnsi="Times New Roman"/>
          <w:sz w:val="28"/>
          <w:szCs w:val="28"/>
        </w:rPr>
        <w:t>повідно існує ситуація, за якої відрахування збільшують</w:t>
      </w:r>
      <w:r w:rsidR="007D3636" w:rsidRPr="00443855">
        <w:rPr>
          <w:rFonts w:ascii="Times New Roman" w:hAnsi="Times New Roman"/>
          <w:sz w:val="28"/>
          <w:szCs w:val="28"/>
        </w:rPr>
        <w:t xml:space="preserve"> ціну</w:t>
      </w:r>
      <w:r w:rsidR="00C50945">
        <w:rPr>
          <w:rFonts w:ascii="Times New Roman" w:hAnsi="Times New Roman"/>
          <w:sz w:val="28"/>
          <w:szCs w:val="28"/>
        </w:rPr>
        <w:t xml:space="preserve"> обладнання</w:t>
      </w:r>
      <w:r w:rsidR="007D3636" w:rsidRPr="00443855">
        <w:rPr>
          <w:rFonts w:ascii="Times New Roman" w:hAnsi="Times New Roman"/>
          <w:sz w:val="28"/>
          <w:szCs w:val="28"/>
        </w:rPr>
        <w:t xml:space="preserve"> для </w:t>
      </w:r>
      <w:r w:rsidR="00C50945">
        <w:rPr>
          <w:rFonts w:ascii="Times New Roman" w:hAnsi="Times New Roman"/>
          <w:sz w:val="28"/>
          <w:szCs w:val="28"/>
        </w:rPr>
        <w:t xml:space="preserve">українських </w:t>
      </w:r>
      <w:r w:rsidR="007D3636" w:rsidRPr="00443855">
        <w:rPr>
          <w:rFonts w:ascii="Times New Roman" w:hAnsi="Times New Roman"/>
          <w:sz w:val="28"/>
          <w:szCs w:val="28"/>
        </w:rPr>
        <w:t>споживач</w:t>
      </w:r>
      <w:r w:rsidR="00C50945">
        <w:rPr>
          <w:rFonts w:ascii="Times New Roman" w:hAnsi="Times New Roman"/>
          <w:sz w:val="28"/>
          <w:szCs w:val="28"/>
        </w:rPr>
        <w:t xml:space="preserve">ів, призводять до судових спорів офіційних імпортерів обладнання (що знижує їх конкурентоздатність у порівнянні з нелегальним імпортом), а самі відрахування розподіляються у незрозумілий та повністю непрозорий спосіб. </w:t>
      </w:r>
    </w:p>
    <w:p w14:paraId="02360D7B" w14:textId="77777777" w:rsidR="00E9626A" w:rsidRDefault="00C50945" w:rsidP="00443855">
      <w:pPr>
        <w:pStyle w:val="a8"/>
        <w:spacing w:before="0" w:after="120"/>
        <w:ind w:firstLine="709"/>
        <w:jc w:val="both"/>
        <w:rPr>
          <w:rFonts w:ascii="Times New Roman" w:hAnsi="Times New Roman"/>
          <w:sz w:val="28"/>
          <w:szCs w:val="28"/>
        </w:rPr>
      </w:pPr>
      <w:r>
        <w:rPr>
          <w:rFonts w:ascii="Times New Roman" w:hAnsi="Times New Roman"/>
          <w:sz w:val="28"/>
          <w:szCs w:val="28"/>
        </w:rPr>
        <w:lastRenderedPageBreak/>
        <w:t xml:space="preserve">Проектом постанови передбачається істотне скорочення переліку обладнання </w:t>
      </w:r>
      <w:r w:rsidR="00E9626A">
        <w:rPr>
          <w:rFonts w:ascii="Times New Roman" w:hAnsi="Times New Roman"/>
          <w:sz w:val="28"/>
          <w:szCs w:val="28"/>
        </w:rPr>
        <w:t>до трьох позицій (тобто пропонується виключити з переліку обладнання 30 позицій)</w:t>
      </w:r>
      <w:r>
        <w:rPr>
          <w:rFonts w:ascii="Times New Roman" w:hAnsi="Times New Roman"/>
          <w:sz w:val="28"/>
          <w:szCs w:val="28"/>
        </w:rPr>
        <w:t>.</w:t>
      </w:r>
      <w:r w:rsidR="00E9626A">
        <w:rPr>
          <w:rFonts w:ascii="Times New Roman" w:hAnsi="Times New Roman"/>
          <w:sz w:val="28"/>
          <w:szCs w:val="28"/>
        </w:rPr>
        <w:t xml:space="preserve"> </w:t>
      </w:r>
    </w:p>
    <w:p w14:paraId="7348773E" w14:textId="77777777" w:rsidR="00F03968" w:rsidRDefault="004D5978"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П</w:t>
      </w:r>
      <w:r w:rsidR="00060637" w:rsidRPr="00443855">
        <w:rPr>
          <w:rFonts w:ascii="Times New Roman" w:hAnsi="Times New Roman"/>
          <w:sz w:val="28"/>
          <w:szCs w:val="28"/>
        </w:rPr>
        <w:t xml:space="preserve">рийняття </w:t>
      </w:r>
      <w:r w:rsidRPr="00443855">
        <w:rPr>
          <w:rFonts w:ascii="Times New Roman" w:hAnsi="Times New Roman"/>
          <w:sz w:val="28"/>
          <w:szCs w:val="28"/>
        </w:rPr>
        <w:t>П</w:t>
      </w:r>
      <w:r w:rsidR="00060637" w:rsidRPr="00443855">
        <w:rPr>
          <w:rFonts w:ascii="Times New Roman" w:hAnsi="Times New Roman"/>
          <w:sz w:val="28"/>
          <w:szCs w:val="28"/>
        </w:rPr>
        <w:t>роекту постанови</w:t>
      </w:r>
      <w:r w:rsidRPr="00443855">
        <w:rPr>
          <w:rFonts w:ascii="Times New Roman" w:hAnsi="Times New Roman"/>
          <w:sz w:val="28"/>
          <w:szCs w:val="28"/>
        </w:rPr>
        <w:t xml:space="preserve"> сприятиме</w:t>
      </w:r>
      <w:r w:rsidR="00F03968">
        <w:rPr>
          <w:rFonts w:ascii="Times New Roman" w:hAnsi="Times New Roman"/>
          <w:sz w:val="28"/>
          <w:szCs w:val="28"/>
        </w:rPr>
        <w:t>:</w:t>
      </w:r>
    </w:p>
    <w:p w14:paraId="3EC0398F" w14:textId="77777777" w:rsidR="00F03968" w:rsidRDefault="00F03968" w:rsidP="00443855">
      <w:pPr>
        <w:pStyle w:val="a8"/>
        <w:spacing w:before="0" w:after="120"/>
        <w:ind w:firstLine="709"/>
        <w:jc w:val="both"/>
        <w:rPr>
          <w:rFonts w:ascii="Times New Roman" w:hAnsi="Times New Roman"/>
          <w:sz w:val="28"/>
          <w:szCs w:val="28"/>
        </w:rPr>
      </w:pPr>
      <w:r>
        <w:rPr>
          <w:rFonts w:ascii="Times New Roman" w:hAnsi="Times New Roman"/>
          <w:sz w:val="28"/>
          <w:szCs w:val="28"/>
        </w:rPr>
        <w:t>-</w:t>
      </w:r>
      <w:r w:rsidR="004D5978" w:rsidRPr="00443855">
        <w:rPr>
          <w:rFonts w:ascii="Times New Roman" w:hAnsi="Times New Roman"/>
          <w:sz w:val="28"/>
          <w:szCs w:val="28"/>
        </w:rPr>
        <w:t xml:space="preserve"> зменшенню </w:t>
      </w:r>
      <w:r w:rsidR="00082FD1">
        <w:rPr>
          <w:rFonts w:ascii="Times New Roman" w:hAnsi="Times New Roman"/>
          <w:sz w:val="28"/>
          <w:szCs w:val="28"/>
        </w:rPr>
        <w:t xml:space="preserve">обсягів </w:t>
      </w:r>
      <w:r w:rsidR="004D5978" w:rsidRPr="00443855">
        <w:rPr>
          <w:rFonts w:ascii="Times New Roman" w:hAnsi="Times New Roman"/>
          <w:sz w:val="28"/>
          <w:szCs w:val="28"/>
        </w:rPr>
        <w:t>відрахувань до уповноважених ОКУ</w:t>
      </w:r>
      <w:r>
        <w:rPr>
          <w:rFonts w:ascii="Times New Roman" w:hAnsi="Times New Roman"/>
          <w:sz w:val="28"/>
          <w:szCs w:val="28"/>
        </w:rPr>
        <w:t>;</w:t>
      </w:r>
    </w:p>
    <w:p w14:paraId="7A1D4EA9" w14:textId="238751FC" w:rsidR="00F03968" w:rsidRDefault="00F03968" w:rsidP="00443855">
      <w:pPr>
        <w:pStyle w:val="a8"/>
        <w:spacing w:before="0" w:after="120"/>
        <w:ind w:firstLine="709"/>
        <w:jc w:val="both"/>
        <w:rPr>
          <w:rFonts w:ascii="Times New Roman" w:hAnsi="Times New Roman"/>
          <w:sz w:val="28"/>
          <w:szCs w:val="28"/>
        </w:rPr>
      </w:pPr>
      <w:r>
        <w:rPr>
          <w:rFonts w:ascii="Times New Roman" w:hAnsi="Times New Roman"/>
          <w:sz w:val="28"/>
          <w:szCs w:val="28"/>
        </w:rPr>
        <w:t xml:space="preserve">- </w:t>
      </w:r>
      <w:r w:rsidRPr="00F03968">
        <w:rPr>
          <w:rFonts w:ascii="Times New Roman" w:hAnsi="Times New Roman"/>
          <w:sz w:val="28"/>
          <w:szCs w:val="28"/>
        </w:rPr>
        <w:t>зменшенню масштабів потенційних зловживань при здійсненні розподілу</w:t>
      </w:r>
      <w:r>
        <w:rPr>
          <w:rFonts w:ascii="Times New Roman" w:hAnsi="Times New Roman"/>
          <w:sz w:val="28"/>
          <w:szCs w:val="28"/>
        </w:rPr>
        <w:t xml:space="preserve"> коштів зібраних у якості відрахувань;</w:t>
      </w:r>
    </w:p>
    <w:p w14:paraId="542594BE" w14:textId="6EB166F3" w:rsidR="00F03968" w:rsidRDefault="00F03968" w:rsidP="00443855">
      <w:pPr>
        <w:pStyle w:val="a8"/>
        <w:spacing w:before="0" w:after="120"/>
        <w:ind w:firstLine="709"/>
        <w:jc w:val="both"/>
        <w:rPr>
          <w:rFonts w:ascii="Times New Roman" w:hAnsi="Times New Roman"/>
          <w:sz w:val="28"/>
          <w:szCs w:val="28"/>
        </w:rPr>
      </w:pPr>
      <w:r>
        <w:rPr>
          <w:rFonts w:ascii="Times New Roman" w:hAnsi="Times New Roman"/>
          <w:sz w:val="28"/>
          <w:szCs w:val="28"/>
        </w:rPr>
        <w:t xml:space="preserve">- </w:t>
      </w:r>
      <w:r w:rsidR="00933EBF" w:rsidRPr="00443855">
        <w:rPr>
          <w:rFonts w:ascii="Times New Roman" w:hAnsi="Times New Roman"/>
          <w:sz w:val="28"/>
          <w:szCs w:val="28"/>
        </w:rPr>
        <w:t xml:space="preserve">зниженню </w:t>
      </w:r>
      <w:r w:rsidR="00082FD1">
        <w:rPr>
          <w:rFonts w:ascii="Times New Roman" w:hAnsi="Times New Roman"/>
          <w:sz w:val="28"/>
          <w:szCs w:val="28"/>
        </w:rPr>
        <w:t xml:space="preserve">вартості </w:t>
      </w:r>
      <w:r w:rsidR="00933EBF" w:rsidRPr="00443855">
        <w:rPr>
          <w:rFonts w:ascii="Times New Roman" w:hAnsi="Times New Roman"/>
          <w:sz w:val="28"/>
          <w:szCs w:val="28"/>
        </w:rPr>
        <w:t>обладнання для кінцевих споживачів в Україні</w:t>
      </w:r>
      <w:r>
        <w:rPr>
          <w:rFonts w:ascii="Times New Roman" w:hAnsi="Times New Roman"/>
          <w:sz w:val="28"/>
          <w:szCs w:val="28"/>
        </w:rPr>
        <w:t>;</w:t>
      </w:r>
    </w:p>
    <w:p w14:paraId="2A5AF7F1" w14:textId="46F88908" w:rsidR="00B050F6" w:rsidRPr="001313C0" w:rsidRDefault="00F03968" w:rsidP="00443855">
      <w:pPr>
        <w:pStyle w:val="a8"/>
        <w:spacing w:before="0" w:after="120"/>
        <w:ind w:firstLine="709"/>
        <w:jc w:val="both"/>
        <w:rPr>
          <w:rFonts w:ascii="Times New Roman" w:hAnsi="Times New Roman"/>
          <w:sz w:val="28"/>
          <w:szCs w:val="28"/>
          <w:lang w:val="ru-RU"/>
        </w:rPr>
      </w:pPr>
      <w:r>
        <w:rPr>
          <w:rFonts w:ascii="Times New Roman" w:hAnsi="Times New Roman"/>
          <w:sz w:val="28"/>
          <w:szCs w:val="28"/>
        </w:rPr>
        <w:t>-</w:t>
      </w:r>
      <w:r w:rsidR="00E9626A">
        <w:rPr>
          <w:rFonts w:ascii="Times New Roman" w:hAnsi="Times New Roman"/>
          <w:sz w:val="28"/>
          <w:szCs w:val="28"/>
        </w:rPr>
        <w:t xml:space="preserve"> </w:t>
      </w:r>
      <w:r>
        <w:rPr>
          <w:rFonts w:ascii="Times New Roman" w:hAnsi="Times New Roman"/>
          <w:sz w:val="28"/>
          <w:szCs w:val="28"/>
        </w:rPr>
        <w:t>зменшенню</w:t>
      </w:r>
      <w:r w:rsidR="00E9626A">
        <w:rPr>
          <w:rFonts w:ascii="Times New Roman" w:hAnsi="Times New Roman"/>
          <w:sz w:val="28"/>
          <w:szCs w:val="28"/>
        </w:rPr>
        <w:t xml:space="preserve"> кільк</w:t>
      </w:r>
      <w:r>
        <w:rPr>
          <w:rFonts w:ascii="Times New Roman" w:hAnsi="Times New Roman"/>
          <w:sz w:val="28"/>
          <w:szCs w:val="28"/>
        </w:rPr>
        <w:t>о</w:t>
      </w:r>
      <w:r w:rsidR="00E9626A">
        <w:rPr>
          <w:rFonts w:ascii="Times New Roman" w:hAnsi="Times New Roman"/>
          <w:sz w:val="28"/>
          <w:szCs w:val="28"/>
        </w:rPr>
        <w:t>ст</w:t>
      </w:r>
      <w:r>
        <w:rPr>
          <w:rFonts w:ascii="Times New Roman" w:hAnsi="Times New Roman"/>
          <w:sz w:val="28"/>
          <w:szCs w:val="28"/>
        </w:rPr>
        <w:t>і</w:t>
      </w:r>
      <w:r w:rsidR="00E9626A">
        <w:rPr>
          <w:rFonts w:ascii="Times New Roman" w:hAnsi="Times New Roman"/>
          <w:sz w:val="28"/>
          <w:szCs w:val="28"/>
        </w:rPr>
        <w:t xml:space="preserve"> судових спорів між імпортерами та уповноваженими ОКУ</w:t>
      </w:r>
      <w:r w:rsidR="00933EBF" w:rsidRPr="00443855">
        <w:rPr>
          <w:rFonts w:ascii="Times New Roman" w:hAnsi="Times New Roman"/>
          <w:sz w:val="28"/>
          <w:szCs w:val="28"/>
        </w:rPr>
        <w:t>.</w:t>
      </w:r>
    </w:p>
    <w:p w14:paraId="27DA2084" w14:textId="77777777" w:rsidR="00F22DE1" w:rsidRPr="00443855" w:rsidRDefault="00F22DE1" w:rsidP="00443855">
      <w:pPr>
        <w:pStyle w:val="a8"/>
        <w:spacing w:before="0" w:after="120"/>
        <w:ind w:firstLine="709"/>
        <w:jc w:val="both"/>
        <w:rPr>
          <w:rFonts w:ascii="Times New Roman" w:hAnsi="Times New Roman"/>
          <w:sz w:val="28"/>
          <w:szCs w:val="28"/>
        </w:rPr>
      </w:pPr>
    </w:p>
    <w:p w14:paraId="7EE6B349" w14:textId="77777777" w:rsidR="002F5164" w:rsidRPr="00443855" w:rsidRDefault="002F5164" w:rsidP="00443855">
      <w:pPr>
        <w:spacing w:after="120"/>
        <w:ind w:firstLine="709"/>
        <w:jc w:val="both"/>
        <w:rPr>
          <w:b/>
          <w:sz w:val="28"/>
          <w:szCs w:val="28"/>
          <w:lang w:val="uk-UA"/>
        </w:rPr>
      </w:pPr>
      <w:r w:rsidRPr="00443855">
        <w:rPr>
          <w:b/>
          <w:sz w:val="28"/>
          <w:szCs w:val="28"/>
          <w:lang w:val="uk-UA"/>
        </w:rPr>
        <w:t>2. Мета і шляхи її досягнення</w:t>
      </w:r>
    </w:p>
    <w:p w14:paraId="7378F672" w14:textId="234EC0C8" w:rsidR="00E96B6B" w:rsidRPr="00443855" w:rsidRDefault="002F5164" w:rsidP="00443855">
      <w:pPr>
        <w:spacing w:after="120"/>
        <w:ind w:firstLine="709"/>
        <w:jc w:val="both"/>
        <w:rPr>
          <w:sz w:val="28"/>
          <w:szCs w:val="28"/>
          <w:lang w:val="uk-UA"/>
        </w:rPr>
      </w:pPr>
      <w:r w:rsidRPr="00443855">
        <w:rPr>
          <w:sz w:val="28"/>
          <w:szCs w:val="28"/>
          <w:lang w:val="uk-UA"/>
        </w:rPr>
        <w:t xml:space="preserve">Метою розроблення і прийняття </w:t>
      </w:r>
      <w:r w:rsidR="00082FD1">
        <w:rPr>
          <w:sz w:val="28"/>
          <w:szCs w:val="28"/>
          <w:lang w:val="uk-UA"/>
        </w:rPr>
        <w:t>П</w:t>
      </w:r>
      <w:r w:rsidRPr="00443855">
        <w:rPr>
          <w:sz w:val="28"/>
          <w:szCs w:val="28"/>
          <w:lang w:val="uk-UA"/>
        </w:rPr>
        <w:t xml:space="preserve">роекту </w:t>
      </w:r>
      <w:r w:rsidR="004F6DD5">
        <w:rPr>
          <w:sz w:val="28"/>
          <w:szCs w:val="28"/>
          <w:lang w:val="uk-UA"/>
        </w:rPr>
        <w:t xml:space="preserve">є </w:t>
      </w:r>
      <w:r w:rsidR="00763305" w:rsidRPr="00763305">
        <w:rPr>
          <w:sz w:val="28"/>
          <w:szCs w:val="28"/>
          <w:lang w:val="uk-UA"/>
        </w:rPr>
        <w:t>зменшення коштів, які зобов’язані сплачувати суб’єкти господарювання на користь уповноважених ОКУ для подальшого непрозорого розподілу</w:t>
      </w:r>
      <w:r w:rsidR="00763305">
        <w:rPr>
          <w:sz w:val="28"/>
          <w:szCs w:val="28"/>
          <w:lang w:val="uk-UA"/>
        </w:rPr>
        <w:t>, а також</w:t>
      </w:r>
      <w:r w:rsidR="00763305" w:rsidRPr="00E9626A">
        <w:rPr>
          <w:sz w:val="28"/>
          <w:szCs w:val="28"/>
          <w:lang w:val="uk-UA"/>
        </w:rPr>
        <w:t xml:space="preserve"> </w:t>
      </w:r>
      <w:r w:rsidR="00763305">
        <w:rPr>
          <w:sz w:val="28"/>
          <w:szCs w:val="28"/>
          <w:lang w:val="uk-UA"/>
        </w:rPr>
        <w:t>зменшення</w:t>
      </w:r>
      <w:r w:rsidR="00763305" w:rsidRPr="00E9626A">
        <w:rPr>
          <w:sz w:val="28"/>
          <w:szCs w:val="28"/>
          <w:lang w:val="uk-UA"/>
        </w:rPr>
        <w:t xml:space="preserve"> вартості обладнання для кінцевих споживачів</w:t>
      </w:r>
      <w:r w:rsidR="00763305" w:rsidRPr="00763305">
        <w:rPr>
          <w:sz w:val="28"/>
          <w:szCs w:val="28"/>
          <w:lang w:val="uk-UA"/>
        </w:rPr>
        <w:t xml:space="preserve"> </w:t>
      </w:r>
      <w:r w:rsidR="00763305">
        <w:rPr>
          <w:sz w:val="28"/>
          <w:szCs w:val="28"/>
          <w:lang w:val="uk-UA"/>
        </w:rPr>
        <w:t xml:space="preserve">шляхом </w:t>
      </w:r>
      <w:r w:rsidR="00E9626A" w:rsidRPr="00E9626A">
        <w:rPr>
          <w:sz w:val="28"/>
          <w:szCs w:val="28"/>
          <w:lang w:val="uk-UA"/>
        </w:rPr>
        <w:t>зменшення переліку обладн</w:t>
      </w:r>
      <w:r w:rsidR="00E9626A">
        <w:rPr>
          <w:sz w:val="28"/>
          <w:szCs w:val="28"/>
          <w:lang w:val="uk-UA"/>
        </w:rPr>
        <w:t>ання</w:t>
      </w:r>
      <w:r w:rsidR="004F6DD5">
        <w:rPr>
          <w:sz w:val="28"/>
          <w:szCs w:val="28"/>
          <w:lang w:val="uk-UA"/>
        </w:rPr>
        <w:t>,</w:t>
      </w:r>
      <w:r w:rsidR="00E9626A">
        <w:rPr>
          <w:sz w:val="28"/>
          <w:szCs w:val="28"/>
          <w:lang w:val="uk-UA"/>
        </w:rPr>
        <w:t xml:space="preserve"> </w:t>
      </w:r>
      <w:r w:rsidR="00E9626A" w:rsidRPr="00E9626A">
        <w:rPr>
          <w:sz w:val="28"/>
          <w:szCs w:val="28"/>
          <w:lang w:val="uk-UA"/>
        </w:rPr>
        <w:t>з якого сплачуються відрахування</w:t>
      </w:r>
      <w:r w:rsidR="00E9626A">
        <w:rPr>
          <w:sz w:val="28"/>
          <w:szCs w:val="28"/>
          <w:lang w:val="uk-UA"/>
        </w:rPr>
        <w:t xml:space="preserve"> імпортерами та виробниками до уповноважених ОКУ.</w:t>
      </w:r>
    </w:p>
    <w:p w14:paraId="0293683B" w14:textId="1A403BA8" w:rsidR="002F5164" w:rsidRDefault="002F5164" w:rsidP="00443855">
      <w:pPr>
        <w:pStyle w:val="a7"/>
        <w:spacing w:before="0" w:beforeAutospacing="0" w:after="120" w:afterAutospacing="0"/>
        <w:ind w:firstLine="709"/>
        <w:jc w:val="both"/>
        <w:rPr>
          <w:sz w:val="28"/>
          <w:szCs w:val="28"/>
          <w:lang w:val="uk-UA"/>
        </w:rPr>
      </w:pPr>
      <w:r w:rsidRPr="00443855">
        <w:rPr>
          <w:sz w:val="28"/>
          <w:szCs w:val="28"/>
          <w:lang w:val="uk-UA"/>
        </w:rPr>
        <w:t xml:space="preserve">Так </w:t>
      </w:r>
      <w:r w:rsidR="00082FD1">
        <w:rPr>
          <w:sz w:val="28"/>
          <w:szCs w:val="28"/>
          <w:lang w:val="uk-UA"/>
        </w:rPr>
        <w:t>П</w:t>
      </w:r>
      <w:r w:rsidRPr="00443855">
        <w:rPr>
          <w:sz w:val="28"/>
          <w:szCs w:val="28"/>
          <w:lang w:val="uk-UA"/>
        </w:rPr>
        <w:t xml:space="preserve">роектом постанови пропонується </w:t>
      </w:r>
      <w:r w:rsidR="00933EBF" w:rsidRPr="00443855">
        <w:rPr>
          <w:sz w:val="28"/>
          <w:szCs w:val="28"/>
          <w:lang w:val="uk-UA"/>
        </w:rPr>
        <w:t>виключити</w:t>
      </w:r>
      <w:r w:rsidR="00E9626A">
        <w:rPr>
          <w:sz w:val="28"/>
          <w:szCs w:val="28"/>
          <w:lang w:val="uk-UA"/>
        </w:rPr>
        <w:t xml:space="preserve"> з </w:t>
      </w:r>
      <w:r w:rsidR="002C6966">
        <w:rPr>
          <w:sz w:val="28"/>
          <w:szCs w:val="28"/>
          <w:lang w:val="uk-UA"/>
        </w:rPr>
        <w:t>тридцяти трьох</w:t>
      </w:r>
      <w:r w:rsidR="00E9626A">
        <w:rPr>
          <w:sz w:val="28"/>
          <w:szCs w:val="28"/>
          <w:lang w:val="uk-UA"/>
        </w:rPr>
        <w:t xml:space="preserve"> позицій переліку обладнання </w:t>
      </w:r>
      <w:r w:rsidR="002C6966">
        <w:rPr>
          <w:sz w:val="28"/>
          <w:szCs w:val="28"/>
          <w:lang w:val="uk-UA"/>
        </w:rPr>
        <w:t>тридцять</w:t>
      </w:r>
      <w:r w:rsidR="00E9626A">
        <w:rPr>
          <w:sz w:val="28"/>
          <w:szCs w:val="28"/>
          <w:lang w:val="uk-UA"/>
        </w:rPr>
        <w:t>.</w:t>
      </w:r>
    </w:p>
    <w:p w14:paraId="47E0944B" w14:textId="77777777" w:rsidR="00F22DE1" w:rsidRPr="00443855" w:rsidRDefault="00F22DE1" w:rsidP="00443855">
      <w:pPr>
        <w:pStyle w:val="a7"/>
        <w:spacing w:before="0" w:beforeAutospacing="0" w:after="120" w:afterAutospacing="0"/>
        <w:ind w:firstLine="709"/>
        <w:jc w:val="both"/>
        <w:rPr>
          <w:sz w:val="28"/>
          <w:szCs w:val="28"/>
          <w:lang w:val="uk-UA"/>
        </w:rPr>
      </w:pPr>
    </w:p>
    <w:p w14:paraId="6C1259CD" w14:textId="77777777" w:rsidR="000B2E58" w:rsidRPr="00443855" w:rsidRDefault="002F5164" w:rsidP="00443855">
      <w:pPr>
        <w:spacing w:after="120"/>
        <w:ind w:firstLine="709"/>
        <w:jc w:val="both"/>
        <w:rPr>
          <w:b/>
          <w:sz w:val="28"/>
          <w:szCs w:val="28"/>
          <w:lang w:val="uk-UA"/>
        </w:rPr>
      </w:pPr>
      <w:r w:rsidRPr="00443855">
        <w:rPr>
          <w:b/>
          <w:sz w:val="28"/>
          <w:szCs w:val="28"/>
          <w:lang w:val="uk-UA"/>
        </w:rPr>
        <w:t>3. Правові аспекти</w:t>
      </w:r>
    </w:p>
    <w:p w14:paraId="170BFA6C" w14:textId="4705BE5C" w:rsidR="00F902ED" w:rsidRDefault="002F5164" w:rsidP="00443855">
      <w:pPr>
        <w:spacing w:after="120"/>
        <w:ind w:firstLine="709"/>
        <w:jc w:val="both"/>
        <w:rPr>
          <w:sz w:val="28"/>
          <w:szCs w:val="28"/>
          <w:lang w:val="uk-UA"/>
        </w:rPr>
      </w:pPr>
      <w:r w:rsidRPr="00443855">
        <w:rPr>
          <w:sz w:val="28"/>
          <w:szCs w:val="28"/>
          <w:lang w:val="uk-UA"/>
        </w:rPr>
        <w:t xml:space="preserve">У даній сфері правового регулювання діє </w:t>
      </w:r>
      <w:r w:rsidR="00933EBF" w:rsidRPr="00443855">
        <w:rPr>
          <w:sz w:val="28"/>
          <w:szCs w:val="28"/>
          <w:lang w:val="uk-UA"/>
        </w:rPr>
        <w:t xml:space="preserve">Цивільний кодекс України, Закон України «Про авторське право і </w:t>
      </w:r>
      <w:r w:rsidR="002C6966">
        <w:rPr>
          <w:sz w:val="28"/>
          <w:szCs w:val="28"/>
          <w:lang w:val="uk-UA"/>
        </w:rPr>
        <w:t>суміжні</w:t>
      </w:r>
      <w:r w:rsidR="002C6966" w:rsidRPr="00443855">
        <w:rPr>
          <w:sz w:val="28"/>
          <w:szCs w:val="28"/>
          <w:lang w:val="uk-UA"/>
        </w:rPr>
        <w:t xml:space="preserve"> </w:t>
      </w:r>
      <w:r w:rsidR="00933EBF" w:rsidRPr="00443855">
        <w:rPr>
          <w:sz w:val="28"/>
          <w:szCs w:val="28"/>
          <w:lang w:val="uk-UA"/>
        </w:rPr>
        <w:t>права»</w:t>
      </w:r>
      <w:r w:rsidR="00CD716E" w:rsidRPr="00443855">
        <w:rPr>
          <w:sz w:val="28"/>
          <w:szCs w:val="28"/>
          <w:lang w:val="uk-UA"/>
        </w:rPr>
        <w:t>,</w:t>
      </w:r>
      <w:r w:rsidR="00026519" w:rsidRPr="00443855">
        <w:rPr>
          <w:sz w:val="28"/>
          <w:szCs w:val="28"/>
          <w:lang w:val="uk-UA"/>
        </w:rPr>
        <w:t xml:space="preserve"> </w:t>
      </w:r>
      <w:r w:rsidR="00933EBF" w:rsidRPr="00443855">
        <w:rPr>
          <w:sz w:val="28"/>
          <w:szCs w:val="28"/>
          <w:lang w:val="uk-UA"/>
        </w:rPr>
        <w:t>постанова Кабінету Міністрів України «</w:t>
      </w:r>
      <w:r w:rsidR="00637E9B" w:rsidRPr="001313C0">
        <w:rPr>
          <w:sz w:val="28"/>
          <w:szCs w:val="28"/>
          <w:lang w:val="uk-UA"/>
        </w:rPr>
        <w:t>Про розмір відрахувань, що сплачуються виробниками та імпортерами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w:t>
      </w:r>
      <w:r w:rsidR="00933EBF" w:rsidRPr="00443855">
        <w:rPr>
          <w:sz w:val="28"/>
          <w:szCs w:val="28"/>
          <w:lang w:val="uk-UA"/>
        </w:rPr>
        <w:t>».</w:t>
      </w:r>
    </w:p>
    <w:p w14:paraId="542E4ABF" w14:textId="77777777" w:rsidR="00F22DE1" w:rsidRPr="00E21518" w:rsidRDefault="00F22DE1" w:rsidP="00F22DE1">
      <w:pPr>
        <w:pStyle w:val="af7"/>
        <w:ind w:left="0" w:firstLine="709"/>
        <w:jc w:val="both"/>
        <w:rPr>
          <w:rFonts w:ascii="Times New Roman" w:hAnsi="Times New Roman"/>
          <w:sz w:val="28"/>
          <w:szCs w:val="28"/>
          <w:lang w:eastAsia="uk-UA"/>
        </w:rPr>
      </w:pPr>
      <w:r w:rsidRPr="00E21518">
        <w:rPr>
          <w:rFonts w:ascii="Times New Roman" w:hAnsi="Times New Roman"/>
          <w:sz w:val="28"/>
          <w:szCs w:val="28"/>
          <w:lang w:eastAsia="uk-UA"/>
        </w:rPr>
        <w:t>Реалізація проекту постанови не потребує внесення змін до чинних актів чи розроблення нових актів.</w:t>
      </w:r>
    </w:p>
    <w:p w14:paraId="6A2089D3" w14:textId="77777777" w:rsidR="00F22DE1" w:rsidRPr="00443855" w:rsidRDefault="00F22DE1" w:rsidP="00443855">
      <w:pPr>
        <w:spacing w:after="120"/>
        <w:ind w:firstLine="709"/>
        <w:jc w:val="both"/>
        <w:rPr>
          <w:sz w:val="28"/>
          <w:szCs w:val="28"/>
          <w:lang w:val="uk-UA"/>
        </w:rPr>
      </w:pPr>
    </w:p>
    <w:p w14:paraId="4192CFD6" w14:textId="77777777" w:rsidR="002F5164" w:rsidRPr="00443855" w:rsidRDefault="002F5164" w:rsidP="00443855">
      <w:pPr>
        <w:spacing w:after="120"/>
        <w:ind w:firstLine="709"/>
        <w:jc w:val="both"/>
        <w:rPr>
          <w:b/>
          <w:sz w:val="28"/>
          <w:szCs w:val="28"/>
          <w:lang w:val="uk-UA"/>
        </w:rPr>
      </w:pPr>
      <w:r w:rsidRPr="00443855">
        <w:rPr>
          <w:b/>
          <w:sz w:val="28"/>
          <w:szCs w:val="28"/>
          <w:lang w:val="uk-UA"/>
        </w:rPr>
        <w:t>4.Фінансово-економічне обґрунтування</w:t>
      </w:r>
    </w:p>
    <w:p w14:paraId="383C0CF9" w14:textId="2AA4622D" w:rsidR="002F5164" w:rsidRDefault="00245797" w:rsidP="00443855">
      <w:pPr>
        <w:spacing w:after="120"/>
        <w:ind w:firstLine="709"/>
        <w:jc w:val="both"/>
        <w:rPr>
          <w:sz w:val="28"/>
          <w:szCs w:val="28"/>
          <w:lang w:val="uk-UA"/>
        </w:rPr>
      </w:pPr>
      <w:r w:rsidRPr="00443855">
        <w:rPr>
          <w:sz w:val="28"/>
          <w:szCs w:val="28"/>
          <w:lang w:val="uk-UA"/>
        </w:rPr>
        <w:t xml:space="preserve">Реалізація </w:t>
      </w:r>
      <w:r w:rsidR="00082FD1">
        <w:rPr>
          <w:sz w:val="28"/>
          <w:szCs w:val="28"/>
          <w:lang w:val="uk-UA"/>
        </w:rPr>
        <w:t>П</w:t>
      </w:r>
      <w:r w:rsidR="00082FD1" w:rsidRPr="00443855">
        <w:rPr>
          <w:sz w:val="28"/>
          <w:szCs w:val="28"/>
          <w:lang w:val="uk-UA"/>
        </w:rPr>
        <w:t xml:space="preserve">роекту </w:t>
      </w:r>
      <w:r w:rsidRPr="00443855">
        <w:rPr>
          <w:sz w:val="28"/>
          <w:szCs w:val="28"/>
          <w:lang w:val="uk-UA"/>
        </w:rPr>
        <w:t>постанови</w:t>
      </w:r>
      <w:r w:rsidR="002F5164" w:rsidRPr="00443855">
        <w:rPr>
          <w:sz w:val="28"/>
          <w:szCs w:val="28"/>
          <w:lang w:val="uk-UA"/>
        </w:rPr>
        <w:t xml:space="preserve"> не потребує </w:t>
      </w:r>
      <w:r w:rsidR="00637E9B" w:rsidRPr="009B0AF5">
        <w:rPr>
          <w:sz w:val="28"/>
          <w:szCs w:val="28"/>
          <w:lang w:val="uk-UA"/>
        </w:rPr>
        <w:t>додаткового фінансування з державного чи місцевого бюджетів</w:t>
      </w:r>
      <w:r w:rsidR="002F5164" w:rsidRPr="00443855">
        <w:rPr>
          <w:sz w:val="28"/>
          <w:szCs w:val="28"/>
          <w:lang w:val="uk-UA"/>
        </w:rPr>
        <w:t>.</w:t>
      </w:r>
    </w:p>
    <w:p w14:paraId="3303D90F" w14:textId="77777777" w:rsidR="00F22DE1" w:rsidRPr="00443855" w:rsidRDefault="00F22DE1" w:rsidP="00443855">
      <w:pPr>
        <w:spacing w:after="120"/>
        <w:ind w:firstLine="709"/>
        <w:jc w:val="both"/>
        <w:rPr>
          <w:sz w:val="28"/>
          <w:szCs w:val="28"/>
          <w:lang w:val="uk-UA"/>
        </w:rPr>
      </w:pPr>
    </w:p>
    <w:p w14:paraId="72CA8A31" w14:textId="77777777" w:rsidR="002F5164" w:rsidRPr="00443855" w:rsidRDefault="002F5164" w:rsidP="00443855">
      <w:pPr>
        <w:spacing w:after="120"/>
        <w:ind w:firstLine="709"/>
        <w:jc w:val="both"/>
        <w:rPr>
          <w:b/>
          <w:sz w:val="28"/>
          <w:szCs w:val="28"/>
          <w:lang w:val="uk-UA"/>
        </w:rPr>
      </w:pPr>
      <w:r w:rsidRPr="00443855">
        <w:rPr>
          <w:b/>
          <w:sz w:val="28"/>
          <w:szCs w:val="28"/>
          <w:lang w:val="uk-UA"/>
        </w:rPr>
        <w:t>5. Позиція заінтересованих органів</w:t>
      </w:r>
    </w:p>
    <w:p w14:paraId="5F245C8E" w14:textId="4FEB58A5" w:rsidR="00117AC1" w:rsidRDefault="002F5164" w:rsidP="00443855">
      <w:pPr>
        <w:spacing w:after="120"/>
        <w:ind w:firstLine="709"/>
        <w:jc w:val="both"/>
        <w:rPr>
          <w:sz w:val="28"/>
          <w:szCs w:val="28"/>
          <w:lang w:val="uk-UA"/>
        </w:rPr>
      </w:pPr>
      <w:r w:rsidRPr="00443855">
        <w:rPr>
          <w:sz w:val="28"/>
          <w:szCs w:val="28"/>
          <w:lang w:val="uk-UA"/>
        </w:rPr>
        <w:lastRenderedPageBreak/>
        <w:t xml:space="preserve">Проект постанови потребує погодження з </w:t>
      </w:r>
      <w:r w:rsidR="00637E9B" w:rsidRPr="00AB47E0">
        <w:rPr>
          <w:sz w:val="28"/>
          <w:szCs w:val="28"/>
          <w:lang w:val="uk-UA"/>
        </w:rPr>
        <w:t>Міністерством фінансів України, Міністерством економічного розвитку і торгівлі України</w:t>
      </w:r>
      <w:r w:rsidR="00637E9B">
        <w:rPr>
          <w:sz w:val="28"/>
          <w:szCs w:val="28"/>
          <w:lang w:val="uk-UA"/>
        </w:rPr>
        <w:t>,</w:t>
      </w:r>
      <w:r w:rsidR="00637E9B" w:rsidRPr="00443855">
        <w:rPr>
          <w:sz w:val="28"/>
          <w:szCs w:val="28"/>
          <w:lang w:val="uk-UA"/>
        </w:rPr>
        <w:t xml:space="preserve"> </w:t>
      </w:r>
      <w:r w:rsidR="00117AC1" w:rsidRPr="00443855">
        <w:rPr>
          <w:sz w:val="28"/>
          <w:szCs w:val="28"/>
          <w:lang w:val="uk-UA"/>
        </w:rPr>
        <w:t>Державною регуляторною службою</w:t>
      </w:r>
      <w:r w:rsidR="002F20F8" w:rsidRPr="003804FD">
        <w:rPr>
          <w:sz w:val="28"/>
          <w:szCs w:val="28"/>
          <w:lang w:val="uk-UA"/>
        </w:rPr>
        <w:t>, а також проведення правової експертизи Міністерством юстиції України</w:t>
      </w:r>
      <w:r w:rsidRPr="00443855">
        <w:rPr>
          <w:sz w:val="28"/>
          <w:szCs w:val="28"/>
          <w:lang w:val="uk-UA"/>
        </w:rPr>
        <w:t xml:space="preserve">. </w:t>
      </w:r>
    </w:p>
    <w:p w14:paraId="277F80C5" w14:textId="77777777" w:rsidR="00F22DE1" w:rsidRPr="00443855" w:rsidRDefault="00F22DE1" w:rsidP="00443855">
      <w:pPr>
        <w:spacing w:after="120"/>
        <w:ind w:firstLine="709"/>
        <w:jc w:val="both"/>
        <w:rPr>
          <w:sz w:val="28"/>
          <w:szCs w:val="28"/>
          <w:lang w:val="uk-UA"/>
        </w:rPr>
      </w:pPr>
    </w:p>
    <w:p w14:paraId="10FF9D03" w14:textId="77777777" w:rsidR="002F5164" w:rsidRPr="00443855" w:rsidRDefault="002F5164" w:rsidP="00443855">
      <w:pPr>
        <w:spacing w:after="120"/>
        <w:ind w:firstLine="709"/>
        <w:jc w:val="both"/>
        <w:rPr>
          <w:b/>
          <w:sz w:val="28"/>
          <w:szCs w:val="28"/>
          <w:lang w:val="uk-UA"/>
        </w:rPr>
      </w:pPr>
      <w:r w:rsidRPr="00443855">
        <w:rPr>
          <w:b/>
          <w:sz w:val="28"/>
          <w:szCs w:val="28"/>
          <w:lang w:val="uk-UA"/>
        </w:rPr>
        <w:t>6. Регіональний аспект</w:t>
      </w:r>
    </w:p>
    <w:p w14:paraId="3937455F" w14:textId="3493B4E7" w:rsidR="002F5164" w:rsidRDefault="002F5164" w:rsidP="00443855">
      <w:pPr>
        <w:spacing w:after="120"/>
        <w:ind w:firstLine="709"/>
        <w:jc w:val="both"/>
        <w:rPr>
          <w:sz w:val="28"/>
          <w:szCs w:val="28"/>
          <w:lang w:val="uk-UA"/>
        </w:rPr>
      </w:pPr>
      <w:r w:rsidRPr="00443855">
        <w:rPr>
          <w:sz w:val="28"/>
          <w:szCs w:val="28"/>
          <w:lang w:val="uk-UA"/>
        </w:rPr>
        <w:t>Проект постанови не стосується питання розвитку адміністративно-територіальних одиниць.</w:t>
      </w:r>
    </w:p>
    <w:p w14:paraId="218FDD42" w14:textId="77777777" w:rsidR="00F22DE1" w:rsidRPr="001313C0" w:rsidRDefault="00F22DE1" w:rsidP="00443855">
      <w:pPr>
        <w:spacing w:after="120"/>
        <w:ind w:firstLine="709"/>
        <w:jc w:val="both"/>
        <w:rPr>
          <w:sz w:val="28"/>
          <w:szCs w:val="28"/>
        </w:rPr>
      </w:pPr>
    </w:p>
    <w:p w14:paraId="186D19B7" w14:textId="7F573076" w:rsidR="002817A4" w:rsidRPr="00443855" w:rsidRDefault="002817A4" w:rsidP="00443855">
      <w:pPr>
        <w:spacing w:after="120"/>
        <w:ind w:firstLine="709"/>
        <w:jc w:val="both"/>
        <w:rPr>
          <w:rStyle w:val="rvts44"/>
          <w:b/>
          <w:bCs/>
          <w:color w:val="000000"/>
          <w:sz w:val="28"/>
          <w:szCs w:val="28"/>
          <w:bdr w:val="none" w:sz="0" w:space="0" w:color="auto" w:frame="1"/>
          <w:shd w:val="clear" w:color="auto" w:fill="FFFFFF"/>
          <w:lang w:val="uk-UA"/>
        </w:rPr>
      </w:pPr>
      <w:r w:rsidRPr="00443855">
        <w:rPr>
          <w:rStyle w:val="rvts44"/>
          <w:b/>
          <w:bCs/>
          <w:color w:val="000000"/>
          <w:sz w:val="28"/>
          <w:szCs w:val="28"/>
          <w:bdr w:val="none" w:sz="0" w:space="0" w:color="auto" w:frame="1"/>
          <w:shd w:val="clear" w:color="auto" w:fill="FFFFFF"/>
        </w:rPr>
        <w:t>6</w:t>
      </w:r>
      <w:r w:rsidRPr="00443855">
        <w:rPr>
          <w:rStyle w:val="rvts37"/>
          <w:b/>
          <w:bCs/>
          <w:color w:val="000000"/>
          <w:sz w:val="28"/>
          <w:szCs w:val="28"/>
          <w:bdr w:val="none" w:sz="0" w:space="0" w:color="auto" w:frame="1"/>
          <w:shd w:val="clear" w:color="auto" w:fill="FFFFFF"/>
          <w:vertAlign w:val="superscript"/>
        </w:rPr>
        <w:t>1</w:t>
      </w:r>
      <w:r w:rsidRPr="00443855">
        <w:rPr>
          <w:rStyle w:val="rvts44"/>
          <w:b/>
          <w:bCs/>
          <w:color w:val="000000"/>
          <w:sz w:val="28"/>
          <w:szCs w:val="28"/>
          <w:bdr w:val="none" w:sz="0" w:space="0" w:color="auto" w:frame="1"/>
          <w:shd w:val="clear" w:color="auto" w:fill="FFFFFF"/>
        </w:rPr>
        <w:t>. Запобігання дискримінації</w:t>
      </w:r>
    </w:p>
    <w:p w14:paraId="2C8050E8" w14:textId="43CE61BF" w:rsidR="002F5164" w:rsidRDefault="002817A4" w:rsidP="00443855">
      <w:pPr>
        <w:spacing w:after="120"/>
        <w:ind w:firstLine="709"/>
        <w:jc w:val="both"/>
        <w:rPr>
          <w:sz w:val="28"/>
          <w:szCs w:val="28"/>
          <w:lang w:val="uk-UA"/>
        </w:rPr>
      </w:pPr>
      <w:r w:rsidRPr="00443855">
        <w:rPr>
          <w:sz w:val="28"/>
          <w:szCs w:val="28"/>
          <w:lang w:val="uk-UA"/>
        </w:rPr>
        <w:t xml:space="preserve">У </w:t>
      </w:r>
      <w:r w:rsidR="00082FD1">
        <w:rPr>
          <w:sz w:val="28"/>
          <w:szCs w:val="28"/>
          <w:lang w:val="uk-UA"/>
        </w:rPr>
        <w:t>П</w:t>
      </w:r>
      <w:r w:rsidRPr="00443855">
        <w:rPr>
          <w:sz w:val="28"/>
          <w:szCs w:val="28"/>
          <w:lang w:val="uk-UA"/>
        </w:rPr>
        <w:t xml:space="preserve">роекті </w:t>
      </w:r>
      <w:r w:rsidR="00082FD1">
        <w:rPr>
          <w:sz w:val="28"/>
          <w:szCs w:val="28"/>
          <w:lang w:val="uk-UA"/>
        </w:rPr>
        <w:t>постанови</w:t>
      </w:r>
      <w:r w:rsidR="00082FD1" w:rsidRPr="00443855">
        <w:rPr>
          <w:sz w:val="28"/>
          <w:szCs w:val="28"/>
          <w:lang w:val="uk-UA"/>
        </w:rPr>
        <w:t xml:space="preserve"> </w:t>
      </w:r>
      <w:r w:rsidRPr="00443855">
        <w:rPr>
          <w:sz w:val="28"/>
          <w:szCs w:val="28"/>
          <w:lang w:val="uk-UA"/>
        </w:rPr>
        <w:t xml:space="preserve">відсутні </w:t>
      </w:r>
      <w:r w:rsidR="00821EF3" w:rsidRPr="00443855">
        <w:rPr>
          <w:sz w:val="28"/>
          <w:szCs w:val="28"/>
          <w:lang w:val="uk-UA"/>
        </w:rPr>
        <w:t xml:space="preserve">положення, що містять ознаки дискримінації. </w:t>
      </w:r>
      <w:r w:rsidR="002F20F8">
        <w:rPr>
          <w:sz w:val="28"/>
          <w:szCs w:val="28"/>
          <w:lang w:val="uk-UA"/>
        </w:rPr>
        <w:t>У зв’язку із цим г</w:t>
      </w:r>
      <w:r w:rsidR="00821EF3" w:rsidRPr="00443855">
        <w:rPr>
          <w:sz w:val="28"/>
          <w:szCs w:val="28"/>
          <w:lang w:val="uk-UA"/>
        </w:rPr>
        <w:t>ромадська антидискимінаційна експертиза не проводилась.</w:t>
      </w:r>
    </w:p>
    <w:p w14:paraId="22F2CC3A" w14:textId="77777777" w:rsidR="002C6966" w:rsidRDefault="002C6966" w:rsidP="002C6966">
      <w:pPr>
        <w:spacing w:after="120"/>
        <w:ind w:firstLine="709"/>
        <w:jc w:val="both"/>
        <w:rPr>
          <w:b/>
          <w:sz w:val="28"/>
          <w:szCs w:val="28"/>
          <w:lang w:val="uk-UA"/>
        </w:rPr>
      </w:pPr>
    </w:p>
    <w:p w14:paraId="15CEBE41" w14:textId="5259951C" w:rsidR="002C6966" w:rsidRPr="00443855" w:rsidRDefault="002C6966" w:rsidP="002C6966">
      <w:pPr>
        <w:spacing w:after="120"/>
        <w:ind w:firstLine="709"/>
        <w:jc w:val="both"/>
        <w:rPr>
          <w:b/>
          <w:sz w:val="28"/>
          <w:szCs w:val="28"/>
          <w:lang w:val="uk-UA"/>
        </w:rPr>
      </w:pPr>
      <w:r>
        <w:rPr>
          <w:b/>
          <w:sz w:val="28"/>
          <w:szCs w:val="28"/>
          <w:lang w:val="uk-UA"/>
        </w:rPr>
        <w:t>7</w:t>
      </w:r>
      <w:r w:rsidRPr="00443855">
        <w:rPr>
          <w:b/>
          <w:sz w:val="28"/>
          <w:szCs w:val="28"/>
          <w:lang w:val="uk-UA"/>
        </w:rPr>
        <w:t>.</w:t>
      </w:r>
      <w:r>
        <w:rPr>
          <w:b/>
          <w:sz w:val="28"/>
          <w:szCs w:val="28"/>
          <w:lang w:val="uk-UA"/>
        </w:rPr>
        <w:t xml:space="preserve"> Запобігання корупції</w:t>
      </w:r>
    </w:p>
    <w:p w14:paraId="4E64F32F" w14:textId="6841C26D" w:rsidR="002C6966" w:rsidRDefault="002C6966" w:rsidP="002C6966">
      <w:pPr>
        <w:spacing w:after="120"/>
        <w:ind w:firstLine="709"/>
        <w:jc w:val="both"/>
        <w:rPr>
          <w:sz w:val="28"/>
          <w:szCs w:val="28"/>
          <w:lang w:val="uk-UA"/>
        </w:rPr>
      </w:pPr>
      <w:r>
        <w:rPr>
          <w:sz w:val="28"/>
          <w:szCs w:val="28"/>
          <w:lang w:val="uk-UA"/>
        </w:rPr>
        <w:t xml:space="preserve">У Проекті постанови відсутні </w:t>
      </w:r>
      <w:r w:rsidR="0070783B" w:rsidRPr="0070783B">
        <w:rPr>
          <w:sz w:val="28"/>
          <w:szCs w:val="28"/>
          <w:lang w:val="uk-UA"/>
        </w:rPr>
        <w:t>правил</w:t>
      </w:r>
      <w:r w:rsidR="0070783B">
        <w:rPr>
          <w:sz w:val="28"/>
          <w:szCs w:val="28"/>
          <w:lang w:val="uk-UA"/>
        </w:rPr>
        <w:t>а</w:t>
      </w:r>
      <w:r w:rsidR="0070783B" w:rsidRPr="0070783B">
        <w:rPr>
          <w:sz w:val="28"/>
          <w:szCs w:val="28"/>
          <w:lang w:val="uk-UA"/>
        </w:rPr>
        <w:t xml:space="preserve"> і процедур</w:t>
      </w:r>
      <w:r w:rsidR="0070783B">
        <w:rPr>
          <w:sz w:val="28"/>
          <w:szCs w:val="28"/>
          <w:lang w:val="uk-UA"/>
        </w:rPr>
        <w:t>и</w:t>
      </w:r>
      <w:r w:rsidR="0070783B" w:rsidRPr="0070783B">
        <w:rPr>
          <w:sz w:val="28"/>
          <w:szCs w:val="28"/>
          <w:lang w:val="uk-UA"/>
        </w:rPr>
        <w:t>, які можуть містити ризики вчинення корупційних правопорушень</w:t>
      </w:r>
      <w:r>
        <w:rPr>
          <w:sz w:val="28"/>
          <w:szCs w:val="28"/>
          <w:lang w:val="uk-UA"/>
        </w:rPr>
        <w:t>. Громадська анти</w:t>
      </w:r>
      <w:r w:rsidR="0070783B">
        <w:rPr>
          <w:sz w:val="28"/>
          <w:szCs w:val="28"/>
          <w:lang w:val="uk-UA"/>
        </w:rPr>
        <w:t>корупційна</w:t>
      </w:r>
      <w:r>
        <w:rPr>
          <w:sz w:val="28"/>
          <w:szCs w:val="28"/>
          <w:lang w:val="uk-UA"/>
        </w:rPr>
        <w:t xml:space="preserve"> експертиза не проводилася.</w:t>
      </w:r>
    </w:p>
    <w:p w14:paraId="3DCCBBF2" w14:textId="77777777" w:rsidR="000535FE" w:rsidRPr="00443855" w:rsidRDefault="000535FE" w:rsidP="002C6966">
      <w:pPr>
        <w:spacing w:after="120"/>
        <w:ind w:firstLine="709"/>
        <w:jc w:val="both"/>
        <w:rPr>
          <w:sz w:val="28"/>
          <w:szCs w:val="28"/>
          <w:lang w:val="uk-UA"/>
        </w:rPr>
      </w:pPr>
      <w:bookmarkStart w:id="0" w:name="_GoBack"/>
      <w:bookmarkEnd w:id="0"/>
    </w:p>
    <w:p w14:paraId="51AC9C70" w14:textId="77777777" w:rsidR="002F5164" w:rsidRPr="00443855" w:rsidRDefault="002F5164" w:rsidP="00443855">
      <w:pPr>
        <w:spacing w:after="120"/>
        <w:ind w:firstLine="709"/>
        <w:jc w:val="both"/>
        <w:rPr>
          <w:b/>
          <w:sz w:val="28"/>
          <w:szCs w:val="28"/>
          <w:lang w:val="uk-UA"/>
        </w:rPr>
      </w:pPr>
      <w:r w:rsidRPr="00443855">
        <w:rPr>
          <w:b/>
          <w:sz w:val="28"/>
          <w:szCs w:val="28"/>
          <w:lang w:val="uk-UA"/>
        </w:rPr>
        <w:t>8. Громадське обговорення</w:t>
      </w:r>
    </w:p>
    <w:p w14:paraId="65FA4B74" w14:textId="18ACF8CD" w:rsidR="002F5164" w:rsidRDefault="002F20F8" w:rsidP="00443855">
      <w:pPr>
        <w:spacing w:after="120"/>
        <w:ind w:firstLine="709"/>
        <w:jc w:val="both"/>
        <w:rPr>
          <w:sz w:val="28"/>
          <w:szCs w:val="28"/>
          <w:lang w:val="uk-UA"/>
        </w:rPr>
      </w:pPr>
      <w:r>
        <w:rPr>
          <w:sz w:val="28"/>
          <w:szCs w:val="28"/>
          <w:lang w:val="uk-UA"/>
        </w:rPr>
        <w:t xml:space="preserve">З метою </w:t>
      </w:r>
      <w:r w:rsidRPr="001313C0">
        <w:rPr>
          <w:sz w:val="28"/>
          <w:szCs w:val="28"/>
          <w:lang w:val="uk-UA"/>
        </w:rPr>
        <w:t>проведення консультацій з громадськістю</w:t>
      </w:r>
      <w:r>
        <w:rPr>
          <w:sz w:val="28"/>
          <w:szCs w:val="28"/>
          <w:lang w:val="uk-UA"/>
        </w:rPr>
        <w:t xml:space="preserve"> п</w:t>
      </w:r>
      <w:r w:rsidR="002F5164" w:rsidRPr="00443855">
        <w:rPr>
          <w:sz w:val="28"/>
          <w:szCs w:val="28"/>
          <w:lang w:val="uk-UA"/>
        </w:rPr>
        <w:t xml:space="preserve">роект постанови </w:t>
      </w:r>
      <w:r w:rsidR="001A77DB" w:rsidRPr="00443855">
        <w:rPr>
          <w:sz w:val="28"/>
          <w:szCs w:val="28"/>
          <w:lang w:val="uk-UA"/>
        </w:rPr>
        <w:t>розміщено на сайті Мінекономрозвитку у розділі: "Обговорення проектів документів".</w:t>
      </w:r>
      <w:r>
        <w:rPr>
          <w:sz w:val="28"/>
          <w:szCs w:val="28"/>
          <w:lang w:val="uk-UA"/>
        </w:rPr>
        <w:t xml:space="preserve"> </w:t>
      </w:r>
    </w:p>
    <w:p w14:paraId="1BA53E3B" w14:textId="77777777" w:rsidR="00F22DE1" w:rsidRPr="00443855" w:rsidRDefault="00F22DE1" w:rsidP="00443855">
      <w:pPr>
        <w:spacing w:after="120"/>
        <w:ind w:firstLine="709"/>
        <w:jc w:val="both"/>
        <w:rPr>
          <w:sz w:val="28"/>
          <w:szCs w:val="28"/>
          <w:lang w:val="uk-UA"/>
        </w:rPr>
      </w:pPr>
    </w:p>
    <w:p w14:paraId="4E2D8804" w14:textId="77777777" w:rsidR="002F5164" w:rsidRPr="00443855" w:rsidRDefault="002F5164" w:rsidP="00443855">
      <w:pPr>
        <w:spacing w:after="120"/>
        <w:ind w:firstLine="709"/>
        <w:jc w:val="both"/>
        <w:rPr>
          <w:b/>
          <w:sz w:val="28"/>
          <w:szCs w:val="28"/>
          <w:lang w:val="uk-UA"/>
        </w:rPr>
      </w:pPr>
      <w:r w:rsidRPr="00443855">
        <w:rPr>
          <w:b/>
          <w:sz w:val="28"/>
          <w:szCs w:val="28"/>
          <w:lang w:val="uk-UA"/>
        </w:rPr>
        <w:t>9. Позиція соціальних партнерів</w:t>
      </w:r>
    </w:p>
    <w:p w14:paraId="43C7EA5A" w14:textId="7C426A89" w:rsidR="002F5164" w:rsidRDefault="002F5164" w:rsidP="00443855">
      <w:pPr>
        <w:spacing w:after="120"/>
        <w:ind w:firstLine="709"/>
        <w:jc w:val="both"/>
        <w:rPr>
          <w:sz w:val="28"/>
          <w:szCs w:val="28"/>
          <w:lang w:val="uk-UA"/>
        </w:rPr>
      </w:pPr>
      <w:r w:rsidRPr="00443855">
        <w:rPr>
          <w:sz w:val="28"/>
          <w:szCs w:val="28"/>
          <w:lang w:val="uk-UA"/>
        </w:rPr>
        <w:t>Проект постанови не стосується соціально-трудової сфери</w:t>
      </w:r>
      <w:r w:rsidR="002F20F8">
        <w:rPr>
          <w:sz w:val="28"/>
          <w:szCs w:val="28"/>
          <w:lang w:val="uk-UA"/>
        </w:rPr>
        <w:t xml:space="preserve"> та/або прав інвалідів</w:t>
      </w:r>
      <w:r w:rsidRPr="00443855">
        <w:rPr>
          <w:sz w:val="28"/>
          <w:szCs w:val="28"/>
          <w:lang w:val="uk-UA"/>
        </w:rPr>
        <w:t>.</w:t>
      </w:r>
    </w:p>
    <w:p w14:paraId="431827A1" w14:textId="77777777" w:rsidR="00F22DE1" w:rsidRPr="00443855" w:rsidRDefault="00F22DE1" w:rsidP="00443855">
      <w:pPr>
        <w:spacing w:after="120"/>
        <w:ind w:firstLine="709"/>
        <w:jc w:val="both"/>
        <w:rPr>
          <w:sz w:val="28"/>
          <w:szCs w:val="28"/>
          <w:lang w:val="uk-UA"/>
        </w:rPr>
      </w:pPr>
    </w:p>
    <w:p w14:paraId="677663EC" w14:textId="77777777" w:rsidR="002F5164" w:rsidRPr="00443855" w:rsidRDefault="002F5164" w:rsidP="00443855">
      <w:pPr>
        <w:spacing w:after="120"/>
        <w:ind w:firstLine="709"/>
        <w:jc w:val="both"/>
        <w:rPr>
          <w:b/>
          <w:sz w:val="28"/>
          <w:szCs w:val="28"/>
          <w:lang w:val="uk-UA"/>
        </w:rPr>
      </w:pPr>
      <w:r w:rsidRPr="00443855">
        <w:rPr>
          <w:b/>
          <w:sz w:val="28"/>
          <w:szCs w:val="28"/>
          <w:lang w:val="uk-UA"/>
        </w:rPr>
        <w:t>10. Оцінка регуляторного впливу</w:t>
      </w:r>
    </w:p>
    <w:p w14:paraId="43E43DC9" w14:textId="23A5EF6B" w:rsidR="002F5164" w:rsidRDefault="002F5164" w:rsidP="00443855">
      <w:pPr>
        <w:spacing w:after="120"/>
        <w:ind w:firstLine="709"/>
        <w:jc w:val="both"/>
        <w:rPr>
          <w:sz w:val="28"/>
          <w:szCs w:val="28"/>
          <w:lang w:val="uk-UA"/>
        </w:rPr>
      </w:pPr>
      <w:r w:rsidRPr="00443855">
        <w:rPr>
          <w:sz w:val="28"/>
          <w:szCs w:val="28"/>
          <w:lang w:val="uk-UA"/>
        </w:rPr>
        <w:t>Проект</w:t>
      </w:r>
      <w:r w:rsidR="001A77DB" w:rsidRPr="00443855">
        <w:rPr>
          <w:sz w:val="28"/>
          <w:szCs w:val="28"/>
          <w:lang w:val="uk-UA"/>
        </w:rPr>
        <w:t xml:space="preserve"> постанови є регуляторним актом та </w:t>
      </w:r>
      <w:r w:rsidR="000E32C3">
        <w:rPr>
          <w:sz w:val="28"/>
          <w:szCs w:val="28"/>
          <w:lang w:val="uk-UA"/>
        </w:rPr>
        <w:t>подано</w:t>
      </w:r>
      <w:r w:rsidR="000E32C3" w:rsidRPr="00443855">
        <w:rPr>
          <w:sz w:val="28"/>
          <w:szCs w:val="28"/>
          <w:lang w:val="uk-UA"/>
        </w:rPr>
        <w:t xml:space="preserve"> </w:t>
      </w:r>
      <w:r w:rsidR="000E32C3">
        <w:rPr>
          <w:sz w:val="28"/>
          <w:szCs w:val="28"/>
          <w:lang w:val="uk-UA"/>
        </w:rPr>
        <w:t xml:space="preserve">на погодження </w:t>
      </w:r>
      <w:r w:rsidR="001A77DB" w:rsidRPr="00443855">
        <w:rPr>
          <w:sz w:val="28"/>
          <w:szCs w:val="28"/>
          <w:lang w:val="uk-UA"/>
        </w:rPr>
        <w:t>до Державної регуляторної служби</w:t>
      </w:r>
      <w:r w:rsidR="00FE559B" w:rsidRPr="00443855">
        <w:rPr>
          <w:sz w:val="28"/>
          <w:szCs w:val="28"/>
          <w:lang w:val="uk-UA"/>
        </w:rPr>
        <w:t>.</w:t>
      </w:r>
    </w:p>
    <w:p w14:paraId="74BB2681" w14:textId="77777777" w:rsidR="00F22DE1" w:rsidRPr="00443855" w:rsidRDefault="00F22DE1" w:rsidP="00443855">
      <w:pPr>
        <w:spacing w:after="120"/>
        <w:ind w:firstLine="709"/>
        <w:jc w:val="both"/>
        <w:rPr>
          <w:sz w:val="28"/>
          <w:szCs w:val="28"/>
          <w:lang w:val="uk-UA"/>
        </w:rPr>
      </w:pPr>
    </w:p>
    <w:p w14:paraId="262314D3" w14:textId="77777777" w:rsidR="002F5164" w:rsidRPr="00443855" w:rsidRDefault="002F5164" w:rsidP="00443855">
      <w:pPr>
        <w:spacing w:after="120"/>
        <w:ind w:firstLine="709"/>
        <w:jc w:val="both"/>
        <w:rPr>
          <w:b/>
          <w:sz w:val="28"/>
          <w:szCs w:val="28"/>
          <w:lang w:val="uk-UA"/>
        </w:rPr>
      </w:pPr>
      <w:r w:rsidRPr="00443855">
        <w:rPr>
          <w:b/>
          <w:sz w:val="28"/>
          <w:szCs w:val="28"/>
          <w:lang w:val="uk-UA"/>
        </w:rPr>
        <w:t>10</w:t>
      </w:r>
      <w:r w:rsidRPr="00443855">
        <w:rPr>
          <w:b/>
          <w:sz w:val="28"/>
          <w:szCs w:val="28"/>
          <w:vertAlign w:val="superscript"/>
          <w:lang w:val="uk-UA"/>
        </w:rPr>
        <w:t>1</w:t>
      </w:r>
      <w:r w:rsidRPr="00443855">
        <w:rPr>
          <w:b/>
          <w:sz w:val="28"/>
          <w:szCs w:val="28"/>
          <w:lang w:val="uk-UA"/>
        </w:rPr>
        <w:t>. Вплив реалізації акта на ринок праці</w:t>
      </w:r>
    </w:p>
    <w:p w14:paraId="2AE29D19" w14:textId="165B0CBF" w:rsidR="002F5164" w:rsidRDefault="002F5164" w:rsidP="00443855">
      <w:pPr>
        <w:spacing w:after="120"/>
        <w:ind w:firstLine="709"/>
        <w:jc w:val="both"/>
        <w:rPr>
          <w:sz w:val="28"/>
          <w:szCs w:val="28"/>
          <w:lang w:val="uk-UA"/>
        </w:rPr>
      </w:pPr>
      <w:r w:rsidRPr="00443855">
        <w:rPr>
          <w:sz w:val="28"/>
          <w:szCs w:val="28"/>
          <w:lang w:val="uk-UA"/>
        </w:rPr>
        <w:t xml:space="preserve">Реалізація постанови не вплине на ринок праці. </w:t>
      </w:r>
    </w:p>
    <w:p w14:paraId="7151E70A" w14:textId="77777777" w:rsidR="00F22DE1" w:rsidRPr="00443855" w:rsidRDefault="00F22DE1" w:rsidP="00443855">
      <w:pPr>
        <w:spacing w:after="120"/>
        <w:ind w:firstLine="709"/>
        <w:jc w:val="both"/>
        <w:rPr>
          <w:sz w:val="28"/>
          <w:szCs w:val="28"/>
          <w:lang w:val="uk-UA"/>
        </w:rPr>
      </w:pPr>
    </w:p>
    <w:p w14:paraId="52B195A2" w14:textId="77777777" w:rsidR="002F5164" w:rsidRPr="00443855" w:rsidRDefault="002F5164" w:rsidP="00443855">
      <w:pPr>
        <w:spacing w:after="120"/>
        <w:ind w:firstLine="709"/>
        <w:jc w:val="both"/>
        <w:rPr>
          <w:b/>
          <w:sz w:val="28"/>
          <w:szCs w:val="28"/>
          <w:lang w:val="uk-UA"/>
        </w:rPr>
      </w:pPr>
      <w:r w:rsidRPr="00443855">
        <w:rPr>
          <w:b/>
          <w:sz w:val="28"/>
          <w:szCs w:val="28"/>
          <w:lang w:val="uk-UA"/>
        </w:rPr>
        <w:lastRenderedPageBreak/>
        <w:t>11. Прогноз результатів</w:t>
      </w:r>
    </w:p>
    <w:p w14:paraId="48F3ABC7" w14:textId="2FDEA41A" w:rsidR="000E32C3" w:rsidRDefault="002F5164"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 xml:space="preserve">У результаті прийняття </w:t>
      </w:r>
      <w:r w:rsidR="00082FD1">
        <w:rPr>
          <w:rFonts w:ascii="Times New Roman" w:hAnsi="Times New Roman"/>
          <w:sz w:val="28"/>
          <w:szCs w:val="28"/>
        </w:rPr>
        <w:t>П</w:t>
      </w:r>
      <w:r w:rsidRPr="00443855">
        <w:rPr>
          <w:rFonts w:ascii="Times New Roman" w:hAnsi="Times New Roman"/>
          <w:sz w:val="28"/>
          <w:szCs w:val="28"/>
        </w:rPr>
        <w:t>роекту постанови</w:t>
      </w:r>
      <w:r w:rsidR="000E32C3">
        <w:rPr>
          <w:rFonts w:ascii="Times New Roman" w:hAnsi="Times New Roman"/>
          <w:sz w:val="28"/>
          <w:szCs w:val="28"/>
        </w:rPr>
        <w:t>:</w:t>
      </w:r>
    </w:p>
    <w:p w14:paraId="0E669EF8" w14:textId="09715882" w:rsidR="000E32C3" w:rsidRDefault="0070783B" w:rsidP="00443855">
      <w:pPr>
        <w:pStyle w:val="a8"/>
        <w:spacing w:before="0" w:after="120"/>
        <w:ind w:firstLine="709"/>
        <w:jc w:val="both"/>
        <w:rPr>
          <w:rFonts w:ascii="Times New Roman" w:hAnsi="Times New Roman"/>
          <w:sz w:val="28"/>
          <w:szCs w:val="28"/>
        </w:rPr>
      </w:pPr>
      <w:r>
        <w:rPr>
          <w:rFonts w:ascii="Times New Roman" w:hAnsi="Times New Roman"/>
          <w:sz w:val="28"/>
          <w:szCs w:val="28"/>
        </w:rPr>
        <w:t xml:space="preserve">більше ніж на 90% </w:t>
      </w:r>
      <w:r w:rsidR="001A18C9" w:rsidRPr="00443855">
        <w:rPr>
          <w:rFonts w:ascii="Times New Roman" w:hAnsi="Times New Roman"/>
          <w:sz w:val="28"/>
          <w:szCs w:val="28"/>
        </w:rPr>
        <w:t>з</w:t>
      </w:r>
      <w:r w:rsidR="0066583B" w:rsidRPr="00443855">
        <w:rPr>
          <w:rFonts w:ascii="Times New Roman" w:hAnsi="Times New Roman"/>
          <w:sz w:val="28"/>
          <w:szCs w:val="28"/>
        </w:rPr>
        <w:t>меншиться розмір відрахувань імпортерами та виробниками обладнання уповноваженим ОКУ</w:t>
      </w:r>
      <w:r w:rsidR="000E32C3">
        <w:rPr>
          <w:rFonts w:ascii="Times New Roman" w:hAnsi="Times New Roman"/>
          <w:sz w:val="28"/>
          <w:szCs w:val="28"/>
        </w:rPr>
        <w:t>;</w:t>
      </w:r>
    </w:p>
    <w:p w14:paraId="7189AA5E" w14:textId="7DD06B7B" w:rsidR="000E32C3" w:rsidRDefault="0066583B" w:rsidP="00443855">
      <w:pPr>
        <w:pStyle w:val="a8"/>
        <w:spacing w:before="0" w:after="120"/>
        <w:ind w:firstLine="709"/>
        <w:jc w:val="both"/>
        <w:rPr>
          <w:rFonts w:ascii="Times New Roman" w:hAnsi="Times New Roman"/>
          <w:sz w:val="28"/>
          <w:szCs w:val="28"/>
        </w:rPr>
      </w:pPr>
      <w:r w:rsidRPr="00443855">
        <w:rPr>
          <w:rFonts w:ascii="Times New Roman" w:hAnsi="Times New Roman"/>
          <w:sz w:val="28"/>
          <w:szCs w:val="28"/>
        </w:rPr>
        <w:t>зменшиться ціна на обладнання в Україні</w:t>
      </w:r>
      <w:r w:rsidR="0070783B">
        <w:rPr>
          <w:rFonts w:ascii="Times New Roman" w:hAnsi="Times New Roman"/>
          <w:sz w:val="28"/>
          <w:szCs w:val="28"/>
        </w:rPr>
        <w:t>.</w:t>
      </w:r>
    </w:p>
    <w:p w14:paraId="2DD0151A" w14:textId="77777777" w:rsidR="005436E3" w:rsidRPr="00443855" w:rsidRDefault="005436E3" w:rsidP="00443855">
      <w:pPr>
        <w:spacing w:after="120"/>
        <w:ind w:firstLine="709"/>
        <w:rPr>
          <w:b/>
          <w:sz w:val="28"/>
          <w:szCs w:val="28"/>
          <w:lang w:val="uk-UA"/>
        </w:rPr>
      </w:pPr>
    </w:p>
    <w:p w14:paraId="22C663F6" w14:textId="6DFD8072" w:rsidR="005C22A3" w:rsidRPr="00443855" w:rsidRDefault="005C22A3" w:rsidP="001313C0">
      <w:pPr>
        <w:rPr>
          <w:b/>
          <w:sz w:val="28"/>
          <w:szCs w:val="28"/>
          <w:lang w:val="uk-UA"/>
        </w:rPr>
      </w:pPr>
      <w:r w:rsidRPr="00443855">
        <w:rPr>
          <w:b/>
          <w:sz w:val="28"/>
          <w:szCs w:val="28"/>
          <w:lang w:val="uk-UA"/>
        </w:rPr>
        <w:t>Перший віце-прем</w:t>
      </w:r>
      <w:r w:rsidR="00082FD1">
        <w:rPr>
          <w:b/>
          <w:sz w:val="28"/>
          <w:szCs w:val="28"/>
          <w:lang w:val="uk-UA"/>
        </w:rPr>
        <w:t>’</w:t>
      </w:r>
      <w:r w:rsidRPr="00443855">
        <w:rPr>
          <w:b/>
          <w:sz w:val="28"/>
          <w:szCs w:val="28"/>
          <w:lang w:val="uk-UA"/>
        </w:rPr>
        <w:t xml:space="preserve">єр-міністр </w:t>
      </w:r>
    </w:p>
    <w:p w14:paraId="2FF592DC" w14:textId="77777777" w:rsidR="005C22A3" w:rsidRPr="00443855" w:rsidRDefault="005C22A3" w:rsidP="001313C0">
      <w:pPr>
        <w:rPr>
          <w:b/>
          <w:sz w:val="28"/>
          <w:szCs w:val="28"/>
          <w:lang w:val="uk-UA"/>
        </w:rPr>
      </w:pPr>
      <w:r w:rsidRPr="00443855">
        <w:rPr>
          <w:b/>
          <w:sz w:val="28"/>
          <w:szCs w:val="28"/>
          <w:lang w:val="uk-UA"/>
        </w:rPr>
        <w:t xml:space="preserve">України – Міністр економічного </w:t>
      </w:r>
      <w:r w:rsidRPr="00443855">
        <w:rPr>
          <w:b/>
          <w:sz w:val="28"/>
          <w:szCs w:val="28"/>
          <w:lang w:val="uk-UA"/>
        </w:rPr>
        <w:tab/>
      </w:r>
      <w:r w:rsidRPr="00443855">
        <w:rPr>
          <w:b/>
          <w:sz w:val="28"/>
          <w:szCs w:val="28"/>
          <w:lang w:val="uk-UA"/>
        </w:rPr>
        <w:tab/>
      </w:r>
      <w:r w:rsidRPr="00443855">
        <w:rPr>
          <w:b/>
          <w:sz w:val="28"/>
          <w:szCs w:val="28"/>
          <w:lang w:val="uk-UA"/>
        </w:rPr>
        <w:tab/>
      </w:r>
      <w:r w:rsidRPr="00443855">
        <w:rPr>
          <w:b/>
          <w:sz w:val="28"/>
          <w:szCs w:val="28"/>
          <w:lang w:val="uk-UA"/>
        </w:rPr>
        <w:tab/>
      </w:r>
      <w:r w:rsidRPr="00443855">
        <w:rPr>
          <w:b/>
          <w:sz w:val="28"/>
          <w:szCs w:val="28"/>
          <w:lang w:val="uk-UA"/>
        </w:rPr>
        <w:tab/>
      </w:r>
      <w:r w:rsidRPr="00443855">
        <w:rPr>
          <w:b/>
          <w:sz w:val="28"/>
          <w:szCs w:val="28"/>
          <w:lang w:val="uk-UA"/>
        </w:rPr>
        <w:tab/>
        <w:t>С. І. КУБІВ</w:t>
      </w:r>
    </w:p>
    <w:p w14:paraId="7B0FC820" w14:textId="77777777" w:rsidR="005C22A3" w:rsidRPr="00443855" w:rsidRDefault="005C22A3" w:rsidP="001313C0">
      <w:pPr>
        <w:rPr>
          <w:b/>
          <w:sz w:val="28"/>
          <w:szCs w:val="28"/>
          <w:lang w:val="uk-UA"/>
        </w:rPr>
      </w:pPr>
      <w:r w:rsidRPr="00443855">
        <w:rPr>
          <w:b/>
          <w:sz w:val="28"/>
          <w:szCs w:val="28"/>
          <w:lang w:val="uk-UA"/>
        </w:rPr>
        <w:t>розвитку і торгівлі України</w:t>
      </w:r>
      <w:r w:rsidRPr="00443855">
        <w:rPr>
          <w:b/>
          <w:sz w:val="28"/>
          <w:szCs w:val="28"/>
          <w:lang w:val="uk-UA"/>
        </w:rPr>
        <w:tab/>
      </w:r>
    </w:p>
    <w:p w14:paraId="277D7B66" w14:textId="77777777" w:rsidR="005C22A3" w:rsidRPr="00443855" w:rsidRDefault="005C22A3" w:rsidP="00443855">
      <w:pPr>
        <w:spacing w:after="120"/>
        <w:rPr>
          <w:b/>
          <w:sz w:val="28"/>
          <w:szCs w:val="28"/>
          <w:lang w:val="uk-UA"/>
        </w:rPr>
      </w:pPr>
    </w:p>
    <w:p w14:paraId="13F3B0A1" w14:textId="77777777" w:rsidR="005C22A3" w:rsidRPr="00443855" w:rsidRDefault="005C22A3" w:rsidP="00443855">
      <w:pPr>
        <w:spacing w:after="120"/>
        <w:rPr>
          <w:sz w:val="28"/>
          <w:szCs w:val="28"/>
          <w:lang w:val="uk-UA"/>
        </w:rPr>
      </w:pPr>
      <w:r w:rsidRPr="00443855">
        <w:rPr>
          <w:b/>
          <w:sz w:val="28"/>
          <w:szCs w:val="28"/>
          <w:lang w:val="uk-UA"/>
        </w:rPr>
        <w:t xml:space="preserve">“____” _________________ </w:t>
      </w:r>
      <w:r w:rsidRPr="00443855">
        <w:rPr>
          <w:sz w:val="28"/>
          <w:szCs w:val="28"/>
          <w:lang w:val="uk-UA"/>
        </w:rPr>
        <w:t>р</w:t>
      </w:r>
      <w:r w:rsidRPr="00443855">
        <w:rPr>
          <w:b/>
          <w:sz w:val="28"/>
          <w:szCs w:val="28"/>
          <w:lang w:val="uk-UA"/>
        </w:rPr>
        <w:t>.</w:t>
      </w:r>
    </w:p>
    <w:p w14:paraId="06CBC94A" w14:textId="77777777" w:rsidR="005C22A3" w:rsidRPr="00443855" w:rsidRDefault="005C22A3" w:rsidP="00443855">
      <w:pPr>
        <w:spacing w:after="120"/>
        <w:ind w:left="5664" w:firstLine="708"/>
        <w:rPr>
          <w:sz w:val="28"/>
          <w:szCs w:val="28"/>
          <w:lang w:val="uk-UA"/>
        </w:rPr>
      </w:pPr>
    </w:p>
    <w:p w14:paraId="52F5C338" w14:textId="77777777" w:rsidR="005C22A3" w:rsidRPr="00443855" w:rsidRDefault="005C22A3" w:rsidP="00443855">
      <w:pPr>
        <w:pStyle w:val="1"/>
        <w:widowControl w:val="0"/>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32"/>
          <w:tab w:val="left" w:pos="9204"/>
        </w:tabs>
        <w:spacing w:after="120" w:line="240" w:lineRule="auto"/>
        <w:ind w:left="108" w:hanging="108"/>
        <w:jc w:val="both"/>
        <w:rPr>
          <w:rFonts w:ascii="Times New Roman" w:hAnsi="Times New Roman" w:cs="Times New Roman"/>
          <w:sz w:val="28"/>
          <w:szCs w:val="28"/>
          <w:lang w:val="uk-UA"/>
        </w:rPr>
      </w:pPr>
    </w:p>
    <w:p w14:paraId="394F230C" w14:textId="77777777" w:rsidR="005361F0" w:rsidRPr="00443855" w:rsidRDefault="005361F0" w:rsidP="00443855">
      <w:pPr>
        <w:spacing w:after="120"/>
        <w:ind w:left="5664" w:firstLine="708"/>
        <w:rPr>
          <w:sz w:val="28"/>
          <w:szCs w:val="28"/>
          <w:lang w:val="uk-UA"/>
        </w:rPr>
      </w:pPr>
    </w:p>
    <w:sectPr w:rsidR="005361F0" w:rsidRPr="00443855" w:rsidSect="001313C0">
      <w:headerReference w:type="even" r:id="rId8"/>
      <w:headerReference w:type="default" r:id="rId9"/>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379E" w14:textId="77777777" w:rsidR="00CC25BA" w:rsidRDefault="00CC25BA">
      <w:r>
        <w:separator/>
      </w:r>
    </w:p>
  </w:endnote>
  <w:endnote w:type="continuationSeparator" w:id="0">
    <w:p w14:paraId="5DF2FBFD" w14:textId="77777777" w:rsidR="00CC25BA" w:rsidRDefault="00CC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EBFD" w14:textId="77777777" w:rsidR="00CC25BA" w:rsidRDefault="00CC25BA">
      <w:r>
        <w:separator/>
      </w:r>
    </w:p>
  </w:footnote>
  <w:footnote w:type="continuationSeparator" w:id="0">
    <w:p w14:paraId="610590FA" w14:textId="77777777" w:rsidR="00CC25BA" w:rsidRDefault="00CC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553B" w14:textId="77777777" w:rsidR="007F0730" w:rsidRDefault="007F0730" w:rsidP="002F51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AEC9C17" w14:textId="77777777" w:rsidR="007F0730" w:rsidRDefault="007F07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4383" w14:textId="172BBCB7" w:rsidR="007F0730" w:rsidRDefault="007F0730" w:rsidP="002F51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535FE">
      <w:rPr>
        <w:rStyle w:val="a4"/>
        <w:noProof/>
      </w:rPr>
      <w:t>4</w:t>
    </w:r>
    <w:r>
      <w:rPr>
        <w:rStyle w:val="a4"/>
      </w:rPr>
      <w:fldChar w:fldCharType="end"/>
    </w:r>
  </w:p>
  <w:p w14:paraId="4A60192F" w14:textId="77777777" w:rsidR="007F0730" w:rsidRPr="003D27E3" w:rsidRDefault="007F0730">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CE3"/>
    <w:multiLevelType w:val="hybridMultilevel"/>
    <w:tmpl w:val="296CA2F0"/>
    <w:lvl w:ilvl="0" w:tplc="AD1CB166">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B8C7B89"/>
    <w:multiLevelType w:val="hybridMultilevel"/>
    <w:tmpl w:val="400EE626"/>
    <w:lvl w:ilvl="0" w:tplc="AC604E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64"/>
    <w:rsid w:val="0000163D"/>
    <w:rsid w:val="000041CC"/>
    <w:rsid w:val="00026519"/>
    <w:rsid w:val="00031D59"/>
    <w:rsid w:val="000535FE"/>
    <w:rsid w:val="00060637"/>
    <w:rsid w:val="00062EDE"/>
    <w:rsid w:val="00075F84"/>
    <w:rsid w:val="00082FD1"/>
    <w:rsid w:val="0008676D"/>
    <w:rsid w:val="000A0541"/>
    <w:rsid w:val="000A205D"/>
    <w:rsid w:val="000B2E58"/>
    <w:rsid w:val="000C278D"/>
    <w:rsid w:val="000D3EA5"/>
    <w:rsid w:val="000E32C3"/>
    <w:rsid w:val="0010276D"/>
    <w:rsid w:val="00117AC1"/>
    <w:rsid w:val="00121F96"/>
    <w:rsid w:val="001313C0"/>
    <w:rsid w:val="00140852"/>
    <w:rsid w:val="0015400B"/>
    <w:rsid w:val="00157A5B"/>
    <w:rsid w:val="00166ACC"/>
    <w:rsid w:val="00186F59"/>
    <w:rsid w:val="001A18C9"/>
    <w:rsid w:val="001A77DB"/>
    <w:rsid w:val="001B27F0"/>
    <w:rsid w:val="001E46E6"/>
    <w:rsid w:val="001F7C1A"/>
    <w:rsid w:val="00203EF7"/>
    <w:rsid w:val="00207561"/>
    <w:rsid w:val="00245797"/>
    <w:rsid w:val="00252F5A"/>
    <w:rsid w:val="0025699D"/>
    <w:rsid w:val="00262BB4"/>
    <w:rsid w:val="00270759"/>
    <w:rsid w:val="0027448F"/>
    <w:rsid w:val="002766B3"/>
    <w:rsid w:val="002817A4"/>
    <w:rsid w:val="002819B1"/>
    <w:rsid w:val="002A0FF0"/>
    <w:rsid w:val="002C1F1D"/>
    <w:rsid w:val="002C6966"/>
    <w:rsid w:val="002E526D"/>
    <w:rsid w:val="002F20F8"/>
    <w:rsid w:val="002F5164"/>
    <w:rsid w:val="00336C3E"/>
    <w:rsid w:val="00346658"/>
    <w:rsid w:val="003607D7"/>
    <w:rsid w:val="003C157E"/>
    <w:rsid w:val="003C69E1"/>
    <w:rsid w:val="003D27E3"/>
    <w:rsid w:val="003F6349"/>
    <w:rsid w:val="004174BC"/>
    <w:rsid w:val="004208E7"/>
    <w:rsid w:val="00443855"/>
    <w:rsid w:val="004613AD"/>
    <w:rsid w:val="00461F47"/>
    <w:rsid w:val="00463872"/>
    <w:rsid w:val="004D5978"/>
    <w:rsid w:val="004E062B"/>
    <w:rsid w:val="004F6DD5"/>
    <w:rsid w:val="005107D0"/>
    <w:rsid w:val="005361F0"/>
    <w:rsid w:val="005436E3"/>
    <w:rsid w:val="0055676F"/>
    <w:rsid w:val="00556CC9"/>
    <w:rsid w:val="00557052"/>
    <w:rsid w:val="0056147F"/>
    <w:rsid w:val="00563A26"/>
    <w:rsid w:val="00573104"/>
    <w:rsid w:val="0059684F"/>
    <w:rsid w:val="005A2624"/>
    <w:rsid w:val="005C22A3"/>
    <w:rsid w:val="005C3053"/>
    <w:rsid w:val="005D383B"/>
    <w:rsid w:val="005D7951"/>
    <w:rsid w:val="005F1ADA"/>
    <w:rsid w:val="00637E9B"/>
    <w:rsid w:val="00662B23"/>
    <w:rsid w:val="006631AE"/>
    <w:rsid w:val="00664143"/>
    <w:rsid w:val="0066583B"/>
    <w:rsid w:val="00672743"/>
    <w:rsid w:val="00673EB3"/>
    <w:rsid w:val="0068435F"/>
    <w:rsid w:val="006B1A4C"/>
    <w:rsid w:val="006E0C65"/>
    <w:rsid w:val="0070418D"/>
    <w:rsid w:val="0070783B"/>
    <w:rsid w:val="00724303"/>
    <w:rsid w:val="00756B68"/>
    <w:rsid w:val="00763305"/>
    <w:rsid w:val="0077304E"/>
    <w:rsid w:val="00776FEC"/>
    <w:rsid w:val="00797737"/>
    <w:rsid w:val="007A3EDC"/>
    <w:rsid w:val="007C0725"/>
    <w:rsid w:val="007C16A4"/>
    <w:rsid w:val="007C4F72"/>
    <w:rsid w:val="007D3636"/>
    <w:rsid w:val="007E4973"/>
    <w:rsid w:val="007F0730"/>
    <w:rsid w:val="00801C24"/>
    <w:rsid w:val="00816B3D"/>
    <w:rsid w:val="00820EDF"/>
    <w:rsid w:val="00821EF3"/>
    <w:rsid w:val="008307F9"/>
    <w:rsid w:val="00836BC6"/>
    <w:rsid w:val="00842F95"/>
    <w:rsid w:val="00843EC0"/>
    <w:rsid w:val="00856EA1"/>
    <w:rsid w:val="00863EB7"/>
    <w:rsid w:val="008740A1"/>
    <w:rsid w:val="00893614"/>
    <w:rsid w:val="008A2F66"/>
    <w:rsid w:val="008A3522"/>
    <w:rsid w:val="008B5D5E"/>
    <w:rsid w:val="009075A2"/>
    <w:rsid w:val="0091175F"/>
    <w:rsid w:val="00933EBF"/>
    <w:rsid w:val="009A1A7C"/>
    <w:rsid w:val="009A27A2"/>
    <w:rsid w:val="009A5681"/>
    <w:rsid w:val="009B4864"/>
    <w:rsid w:val="009F00EA"/>
    <w:rsid w:val="009F5963"/>
    <w:rsid w:val="00A06DDC"/>
    <w:rsid w:val="00A310D1"/>
    <w:rsid w:val="00A429FD"/>
    <w:rsid w:val="00A61AF3"/>
    <w:rsid w:val="00A74F68"/>
    <w:rsid w:val="00A7699F"/>
    <w:rsid w:val="00A94379"/>
    <w:rsid w:val="00AA7F6D"/>
    <w:rsid w:val="00AC016F"/>
    <w:rsid w:val="00B050F6"/>
    <w:rsid w:val="00B07A03"/>
    <w:rsid w:val="00B55E19"/>
    <w:rsid w:val="00BB771F"/>
    <w:rsid w:val="00BE1685"/>
    <w:rsid w:val="00BF545E"/>
    <w:rsid w:val="00C13102"/>
    <w:rsid w:val="00C3712F"/>
    <w:rsid w:val="00C45D20"/>
    <w:rsid w:val="00C50945"/>
    <w:rsid w:val="00C638C7"/>
    <w:rsid w:val="00CC25BA"/>
    <w:rsid w:val="00CC31F6"/>
    <w:rsid w:val="00CD6897"/>
    <w:rsid w:val="00CD716E"/>
    <w:rsid w:val="00CE3864"/>
    <w:rsid w:val="00CF0DCF"/>
    <w:rsid w:val="00CF2E09"/>
    <w:rsid w:val="00D0687E"/>
    <w:rsid w:val="00D16867"/>
    <w:rsid w:val="00D3193D"/>
    <w:rsid w:val="00D53AC9"/>
    <w:rsid w:val="00D618FA"/>
    <w:rsid w:val="00D64FCE"/>
    <w:rsid w:val="00D75475"/>
    <w:rsid w:val="00D75A78"/>
    <w:rsid w:val="00DB5DE4"/>
    <w:rsid w:val="00DD29CD"/>
    <w:rsid w:val="00DE7FED"/>
    <w:rsid w:val="00E020F3"/>
    <w:rsid w:val="00E168B8"/>
    <w:rsid w:val="00E34638"/>
    <w:rsid w:val="00E73533"/>
    <w:rsid w:val="00E92E0D"/>
    <w:rsid w:val="00E94087"/>
    <w:rsid w:val="00E9626A"/>
    <w:rsid w:val="00E9650F"/>
    <w:rsid w:val="00E96B6B"/>
    <w:rsid w:val="00EA79C7"/>
    <w:rsid w:val="00EB1094"/>
    <w:rsid w:val="00EB7C32"/>
    <w:rsid w:val="00EC6F27"/>
    <w:rsid w:val="00ED4ADE"/>
    <w:rsid w:val="00EE07BA"/>
    <w:rsid w:val="00EF5444"/>
    <w:rsid w:val="00F02065"/>
    <w:rsid w:val="00F03968"/>
    <w:rsid w:val="00F05664"/>
    <w:rsid w:val="00F062E3"/>
    <w:rsid w:val="00F205DA"/>
    <w:rsid w:val="00F22DE1"/>
    <w:rsid w:val="00F727DA"/>
    <w:rsid w:val="00F72DE4"/>
    <w:rsid w:val="00F83A61"/>
    <w:rsid w:val="00F902ED"/>
    <w:rsid w:val="00FA3D92"/>
    <w:rsid w:val="00FB5B5A"/>
    <w:rsid w:val="00FC16FD"/>
    <w:rsid w:val="00FD2CFB"/>
    <w:rsid w:val="00FE559B"/>
    <w:rsid w:val="00FF1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0719"/>
  <w15:chartTrackingRefBased/>
  <w15:docId w15:val="{D6BC19C8-1BF4-4F3A-B704-DBB54148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F516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5164"/>
    <w:pPr>
      <w:tabs>
        <w:tab w:val="center" w:pos="4677"/>
        <w:tab w:val="right" w:pos="9355"/>
      </w:tabs>
    </w:pPr>
  </w:style>
  <w:style w:type="character" w:styleId="a4">
    <w:name w:val="page number"/>
    <w:basedOn w:val="a0"/>
    <w:rsid w:val="002F5164"/>
  </w:style>
  <w:style w:type="paragraph" w:customStyle="1" w:styleId="a5">
    <w:name w:val="Текст в заданном формате"/>
    <w:basedOn w:val="a"/>
    <w:rsid w:val="002F5164"/>
    <w:pPr>
      <w:widowControl w:val="0"/>
      <w:suppressAutoHyphens/>
    </w:pPr>
    <w:rPr>
      <w:rFonts w:ascii="Courier New" w:eastAsia="Courier New" w:hAnsi="Courier New" w:cs="Courier New"/>
      <w:kern w:val="1"/>
      <w:sz w:val="20"/>
      <w:szCs w:val="20"/>
    </w:rPr>
  </w:style>
  <w:style w:type="paragraph" w:styleId="a6">
    <w:name w:val="Body Text"/>
    <w:basedOn w:val="a"/>
    <w:rsid w:val="002F5164"/>
    <w:pPr>
      <w:spacing w:before="100" w:beforeAutospacing="1" w:after="100" w:afterAutospacing="1"/>
    </w:pPr>
    <w:rPr>
      <w:lang w:val="uk-UA" w:eastAsia="uk-UA"/>
    </w:rPr>
  </w:style>
  <w:style w:type="paragraph" w:styleId="a7">
    <w:name w:val="Normal (Web)"/>
    <w:basedOn w:val="a"/>
    <w:rsid w:val="002F5164"/>
    <w:pPr>
      <w:spacing w:before="100" w:beforeAutospacing="1" w:after="100" w:afterAutospacing="1"/>
    </w:pPr>
  </w:style>
  <w:style w:type="paragraph" w:customStyle="1" w:styleId="a8">
    <w:name w:val="Нормальний текст"/>
    <w:basedOn w:val="a"/>
    <w:rsid w:val="002F5164"/>
    <w:pPr>
      <w:spacing w:before="120"/>
      <w:ind w:firstLine="567"/>
    </w:pPr>
    <w:rPr>
      <w:rFonts w:ascii="Antiqua" w:hAnsi="Antiqua"/>
      <w:sz w:val="26"/>
      <w:szCs w:val="20"/>
      <w:lang w:val="uk-UA"/>
    </w:rPr>
  </w:style>
  <w:style w:type="paragraph" w:styleId="a9">
    <w:name w:val="Balloon Text"/>
    <w:basedOn w:val="a"/>
    <w:link w:val="aa"/>
    <w:uiPriority w:val="99"/>
    <w:rsid w:val="00245797"/>
    <w:rPr>
      <w:rFonts w:ascii="Segoe UI" w:hAnsi="Segoe UI" w:cs="Segoe UI"/>
      <w:sz w:val="18"/>
      <w:szCs w:val="18"/>
    </w:rPr>
  </w:style>
  <w:style w:type="character" w:customStyle="1" w:styleId="aa">
    <w:name w:val="Текст выноски Знак"/>
    <w:link w:val="a9"/>
    <w:uiPriority w:val="99"/>
    <w:rsid w:val="00245797"/>
    <w:rPr>
      <w:rFonts w:ascii="Segoe UI" w:hAnsi="Segoe UI" w:cs="Segoe UI"/>
      <w:sz w:val="18"/>
      <w:szCs w:val="18"/>
      <w:lang w:val="ru-RU" w:eastAsia="ru-RU"/>
    </w:rPr>
  </w:style>
  <w:style w:type="character" w:customStyle="1" w:styleId="rvts44">
    <w:name w:val="rvts44"/>
    <w:basedOn w:val="a0"/>
    <w:rsid w:val="002817A4"/>
  </w:style>
  <w:style w:type="character" w:customStyle="1" w:styleId="rvts37">
    <w:name w:val="rvts37"/>
    <w:basedOn w:val="a0"/>
    <w:rsid w:val="002817A4"/>
  </w:style>
  <w:style w:type="paragraph" w:styleId="ab">
    <w:name w:val="footer"/>
    <w:basedOn w:val="a"/>
    <w:rsid w:val="00E73533"/>
    <w:pPr>
      <w:tabs>
        <w:tab w:val="center" w:pos="4819"/>
        <w:tab w:val="right" w:pos="9639"/>
      </w:tabs>
    </w:pPr>
  </w:style>
  <w:style w:type="character" w:styleId="ac">
    <w:name w:val="annotation reference"/>
    <w:rsid w:val="00E020F3"/>
    <w:rPr>
      <w:sz w:val="16"/>
      <w:szCs w:val="16"/>
    </w:rPr>
  </w:style>
  <w:style w:type="paragraph" w:styleId="ad">
    <w:name w:val="annotation text"/>
    <w:basedOn w:val="a"/>
    <w:link w:val="ae"/>
    <w:uiPriority w:val="99"/>
    <w:rsid w:val="00E020F3"/>
    <w:rPr>
      <w:sz w:val="20"/>
      <w:szCs w:val="20"/>
    </w:rPr>
  </w:style>
  <w:style w:type="character" w:customStyle="1" w:styleId="ae">
    <w:name w:val="Текст примечания Знак"/>
    <w:link w:val="ad"/>
    <w:uiPriority w:val="99"/>
    <w:rsid w:val="00E020F3"/>
    <w:rPr>
      <w:lang w:val="ru-RU" w:eastAsia="ru-RU"/>
    </w:rPr>
  </w:style>
  <w:style w:type="paragraph" w:styleId="af">
    <w:name w:val="annotation subject"/>
    <w:basedOn w:val="ad"/>
    <w:next w:val="ad"/>
    <w:link w:val="af0"/>
    <w:rsid w:val="00E020F3"/>
    <w:rPr>
      <w:b/>
      <w:bCs/>
    </w:rPr>
  </w:style>
  <w:style w:type="character" w:customStyle="1" w:styleId="af0">
    <w:name w:val="Тема примечания Знак"/>
    <w:link w:val="af"/>
    <w:rsid w:val="00E020F3"/>
    <w:rPr>
      <w:b/>
      <w:bCs/>
      <w:lang w:val="ru-RU" w:eastAsia="ru-RU"/>
    </w:rPr>
  </w:style>
  <w:style w:type="paragraph" w:styleId="af1">
    <w:name w:val="Revision"/>
    <w:hidden/>
    <w:uiPriority w:val="99"/>
    <w:semiHidden/>
    <w:rsid w:val="00E020F3"/>
    <w:rPr>
      <w:sz w:val="24"/>
      <w:szCs w:val="24"/>
      <w:lang w:val="ru-RU" w:eastAsia="ru-RU"/>
    </w:rPr>
  </w:style>
  <w:style w:type="paragraph" w:customStyle="1" w:styleId="1">
    <w:name w:val="Абзац списка1"/>
    <w:rsid w:val="005C22A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u-RU"/>
    </w:rPr>
  </w:style>
  <w:style w:type="paragraph" w:styleId="af2">
    <w:name w:val="footnote text"/>
    <w:basedOn w:val="a"/>
    <w:link w:val="af3"/>
    <w:rsid w:val="004D5978"/>
    <w:rPr>
      <w:sz w:val="20"/>
      <w:szCs w:val="20"/>
    </w:rPr>
  </w:style>
  <w:style w:type="character" w:customStyle="1" w:styleId="af3">
    <w:name w:val="Текст сноски Знак"/>
    <w:link w:val="af2"/>
    <w:rsid w:val="004D5978"/>
    <w:rPr>
      <w:lang w:val="ru-RU" w:eastAsia="ru-RU"/>
    </w:rPr>
  </w:style>
  <w:style w:type="character" w:styleId="af4">
    <w:name w:val="footnote reference"/>
    <w:rsid w:val="004D5978"/>
    <w:rPr>
      <w:vertAlign w:val="superscript"/>
    </w:rPr>
  </w:style>
  <w:style w:type="character" w:styleId="af5">
    <w:name w:val="Hyperlink"/>
    <w:rsid w:val="004D5978"/>
    <w:rPr>
      <w:color w:val="0563C1"/>
      <w:u w:val="single"/>
    </w:rPr>
  </w:style>
  <w:style w:type="character" w:styleId="af6">
    <w:name w:val="Mention"/>
    <w:uiPriority w:val="99"/>
    <w:semiHidden/>
    <w:unhideWhenUsed/>
    <w:rsid w:val="004D5978"/>
    <w:rPr>
      <w:color w:val="2B579A"/>
      <w:shd w:val="clear" w:color="auto" w:fill="E6E6E6"/>
    </w:rPr>
  </w:style>
  <w:style w:type="paragraph" w:styleId="HTML">
    <w:name w:val="HTML Preformatted"/>
    <w:basedOn w:val="a"/>
    <w:link w:val="HTML0"/>
    <w:uiPriority w:val="99"/>
    <w:unhideWhenUsed/>
    <w:rsid w:val="0063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637E9B"/>
    <w:rPr>
      <w:rFonts w:ascii="Courier New" w:hAnsi="Courier New" w:cs="Courier New"/>
    </w:rPr>
  </w:style>
  <w:style w:type="character" w:customStyle="1" w:styleId="apple-converted-space">
    <w:name w:val="apple-converted-space"/>
    <w:basedOn w:val="a0"/>
    <w:rsid w:val="00F22DE1"/>
  </w:style>
  <w:style w:type="paragraph" w:styleId="af7">
    <w:name w:val="List Paragraph"/>
    <w:basedOn w:val="a"/>
    <w:uiPriority w:val="34"/>
    <w:qFormat/>
    <w:rsid w:val="00F22DE1"/>
    <w:pPr>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rsid w:val="002F20F8"/>
    <w:pPr>
      <w:spacing w:before="100" w:beforeAutospacing="1" w:after="100" w:afterAutospacing="1"/>
    </w:pPr>
    <w:rPr>
      <w:lang w:val="uk-UA" w:eastAsia="uk-UA"/>
    </w:rPr>
  </w:style>
  <w:style w:type="character" w:styleId="af8">
    <w:name w:val="FollowedHyperlink"/>
    <w:basedOn w:val="a0"/>
    <w:rsid w:val="00F06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268">
      <w:bodyDiv w:val="1"/>
      <w:marLeft w:val="0"/>
      <w:marRight w:val="0"/>
      <w:marTop w:val="0"/>
      <w:marBottom w:val="0"/>
      <w:divBdr>
        <w:top w:val="none" w:sz="0" w:space="0" w:color="auto"/>
        <w:left w:val="none" w:sz="0" w:space="0" w:color="auto"/>
        <w:bottom w:val="none" w:sz="0" w:space="0" w:color="auto"/>
        <w:right w:val="none" w:sz="0" w:space="0" w:color="auto"/>
      </w:divBdr>
    </w:div>
    <w:div w:id="189418904">
      <w:bodyDiv w:val="1"/>
      <w:marLeft w:val="0"/>
      <w:marRight w:val="0"/>
      <w:marTop w:val="0"/>
      <w:marBottom w:val="0"/>
      <w:divBdr>
        <w:top w:val="none" w:sz="0" w:space="0" w:color="auto"/>
        <w:left w:val="none" w:sz="0" w:space="0" w:color="auto"/>
        <w:bottom w:val="none" w:sz="0" w:space="0" w:color="auto"/>
        <w:right w:val="none" w:sz="0" w:space="0" w:color="auto"/>
      </w:divBdr>
    </w:div>
    <w:div w:id="241184324">
      <w:bodyDiv w:val="1"/>
      <w:marLeft w:val="0"/>
      <w:marRight w:val="0"/>
      <w:marTop w:val="0"/>
      <w:marBottom w:val="0"/>
      <w:divBdr>
        <w:top w:val="none" w:sz="0" w:space="0" w:color="auto"/>
        <w:left w:val="none" w:sz="0" w:space="0" w:color="auto"/>
        <w:bottom w:val="none" w:sz="0" w:space="0" w:color="auto"/>
        <w:right w:val="none" w:sz="0" w:space="0" w:color="auto"/>
      </w:divBdr>
    </w:div>
    <w:div w:id="787745477">
      <w:bodyDiv w:val="1"/>
      <w:marLeft w:val="0"/>
      <w:marRight w:val="0"/>
      <w:marTop w:val="0"/>
      <w:marBottom w:val="0"/>
      <w:divBdr>
        <w:top w:val="none" w:sz="0" w:space="0" w:color="auto"/>
        <w:left w:val="none" w:sz="0" w:space="0" w:color="auto"/>
        <w:bottom w:val="none" w:sz="0" w:space="0" w:color="auto"/>
        <w:right w:val="none" w:sz="0" w:space="0" w:color="auto"/>
      </w:divBdr>
    </w:div>
    <w:div w:id="889340580">
      <w:bodyDiv w:val="1"/>
      <w:marLeft w:val="0"/>
      <w:marRight w:val="0"/>
      <w:marTop w:val="0"/>
      <w:marBottom w:val="0"/>
      <w:divBdr>
        <w:top w:val="none" w:sz="0" w:space="0" w:color="auto"/>
        <w:left w:val="none" w:sz="0" w:space="0" w:color="auto"/>
        <w:bottom w:val="none" w:sz="0" w:space="0" w:color="auto"/>
        <w:right w:val="none" w:sz="0" w:space="0" w:color="auto"/>
      </w:divBdr>
    </w:div>
    <w:div w:id="1102412769">
      <w:bodyDiv w:val="1"/>
      <w:marLeft w:val="0"/>
      <w:marRight w:val="0"/>
      <w:marTop w:val="0"/>
      <w:marBottom w:val="0"/>
      <w:divBdr>
        <w:top w:val="none" w:sz="0" w:space="0" w:color="auto"/>
        <w:left w:val="none" w:sz="0" w:space="0" w:color="auto"/>
        <w:bottom w:val="none" w:sz="0" w:space="0" w:color="auto"/>
        <w:right w:val="none" w:sz="0" w:space="0" w:color="auto"/>
      </w:divBdr>
    </w:div>
    <w:div w:id="1110932173">
      <w:bodyDiv w:val="1"/>
      <w:marLeft w:val="0"/>
      <w:marRight w:val="0"/>
      <w:marTop w:val="0"/>
      <w:marBottom w:val="0"/>
      <w:divBdr>
        <w:top w:val="none" w:sz="0" w:space="0" w:color="auto"/>
        <w:left w:val="none" w:sz="0" w:space="0" w:color="auto"/>
        <w:bottom w:val="none" w:sz="0" w:space="0" w:color="auto"/>
        <w:right w:val="none" w:sz="0" w:space="0" w:color="auto"/>
      </w:divBdr>
    </w:div>
    <w:div w:id="1238512341">
      <w:bodyDiv w:val="1"/>
      <w:marLeft w:val="0"/>
      <w:marRight w:val="0"/>
      <w:marTop w:val="0"/>
      <w:marBottom w:val="0"/>
      <w:divBdr>
        <w:top w:val="none" w:sz="0" w:space="0" w:color="auto"/>
        <w:left w:val="none" w:sz="0" w:space="0" w:color="auto"/>
        <w:bottom w:val="none" w:sz="0" w:space="0" w:color="auto"/>
        <w:right w:val="none" w:sz="0" w:space="0" w:color="auto"/>
      </w:divBdr>
    </w:div>
    <w:div w:id="18781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FAF6-5131-4A24-89B5-2CCD6B2F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5388</Words>
  <Characters>3072</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MinEconomRozvitku</Company>
  <LinksUpToDate>false</LinksUpToDate>
  <CharactersWithSpaces>8444</CharactersWithSpaces>
  <SharedDoc>false</SharedDoc>
  <HLinks>
    <vt:vector size="6" baseType="variant">
      <vt:variant>
        <vt:i4>917515</vt:i4>
      </vt:variant>
      <vt:variant>
        <vt:i4>0</vt:i4>
      </vt:variant>
      <vt:variant>
        <vt:i4>0</vt:i4>
      </vt:variant>
      <vt:variant>
        <vt:i4>5</vt:i4>
      </vt:variant>
      <vt:variant>
        <vt:lpwstr>https://ustr.gov/sites/default/files/USTR-2016-Special-301-Report.pdf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danchyk</dc:creator>
  <cp:keywords/>
  <dc:description/>
  <cp:lastModifiedBy>Ihor Samokhodskyi</cp:lastModifiedBy>
  <cp:revision>9</cp:revision>
  <cp:lastPrinted>2017-03-21T10:40:00Z</cp:lastPrinted>
  <dcterms:created xsi:type="dcterms:W3CDTF">2017-06-09T14:00:00Z</dcterms:created>
  <dcterms:modified xsi:type="dcterms:W3CDTF">2017-06-16T07:29:00Z</dcterms:modified>
</cp:coreProperties>
</file>