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6218" w14:textId="77777777" w:rsidR="00E97D08" w:rsidRPr="008F25EC" w:rsidRDefault="00E97D08" w:rsidP="00E97D08">
      <w:pPr>
        <w:widowControl w:val="0"/>
        <w:jc w:val="right"/>
        <w:rPr>
          <w:rFonts w:ascii="Times New Roman" w:hAnsi="Times New Roman"/>
          <w:b/>
          <w:sz w:val="28"/>
          <w:szCs w:val="28"/>
          <w:lang w:val="uk-UA"/>
        </w:rPr>
      </w:pPr>
      <w:r w:rsidRPr="008F25EC">
        <w:rPr>
          <w:rFonts w:ascii="Times New Roman" w:hAnsi="Times New Roman"/>
          <w:b/>
          <w:sz w:val="28"/>
          <w:szCs w:val="28"/>
          <w:lang w:val="uk-UA"/>
        </w:rPr>
        <w:t>Проект</w:t>
      </w:r>
    </w:p>
    <w:p w14:paraId="4DB52E93" w14:textId="77777777" w:rsidR="00E97D08" w:rsidRPr="008F25EC" w:rsidRDefault="00E97D08" w:rsidP="00E97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mallCaps/>
          <w:sz w:val="28"/>
          <w:szCs w:val="28"/>
          <w:lang w:val="uk-UA" w:eastAsia="ru-RU"/>
        </w:rPr>
      </w:pPr>
      <w:bookmarkStart w:id="0" w:name="o1"/>
      <w:bookmarkEnd w:id="0"/>
    </w:p>
    <w:p w14:paraId="3AC8A0E8" w14:textId="77777777" w:rsidR="00E97D08" w:rsidRPr="008F25EC" w:rsidRDefault="00E97D08" w:rsidP="00E97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8"/>
          <w:szCs w:val="28"/>
          <w:lang w:val="uk-UA"/>
        </w:rPr>
      </w:pPr>
      <w:r w:rsidRPr="008F25EC">
        <w:rPr>
          <w:rFonts w:ascii="Times New Roman" w:hAnsi="Times New Roman"/>
          <w:b/>
          <w:smallCaps/>
          <w:sz w:val="32"/>
          <w:szCs w:val="32"/>
          <w:lang w:val="uk-UA" w:eastAsia="ru-RU"/>
        </w:rPr>
        <w:t>КАБІНЕТ МІНІСТРІВ УКРАЇНИ</w:t>
      </w:r>
    </w:p>
    <w:p w14:paraId="3DD1C683" w14:textId="77777777" w:rsidR="00E97D08" w:rsidRPr="008F25EC" w:rsidRDefault="00E97D08" w:rsidP="00E97D08">
      <w:pPr>
        <w:widowControl w:val="0"/>
        <w:spacing w:after="0" w:line="240" w:lineRule="auto"/>
        <w:rPr>
          <w:rFonts w:ascii="Times New Roman" w:hAnsi="Times New Roman"/>
          <w:sz w:val="28"/>
          <w:szCs w:val="28"/>
          <w:lang w:val="uk-UA" w:eastAsia="ru-RU"/>
        </w:rPr>
      </w:pPr>
    </w:p>
    <w:p w14:paraId="33B96E73" w14:textId="77777777" w:rsidR="00E97D08" w:rsidRPr="008F25EC" w:rsidRDefault="00E97D08" w:rsidP="00E97D08">
      <w:pPr>
        <w:widowControl w:val="0"/>
        <w:spacing w:after="0" w:line="240" w:lineRule="auto"/>
        <w:jc w:val="center"/>
        <w:rPr>
          <w:rFonts w:ascii="Times New Roman" w:hAnsi="Times New Roman"/>
          <w:b/>
          <w:sz w:val="32"/>
          <w:szCs w:val="32"/>
          <w:lang w:val="uk-UA" w:eastAsia="ru-RU"/>
        </w:rPr>
      </w:pPr>
      <w:r w:rsidRPr="008F25EC">
        <w:rPr>
          <w:rFonts w:ascii="Times New Roman" w:hAnsi="Times New Roman"/>
          <w:b/>
          <w:sz w:val="32"/>
          <w:szCs w:val="32"/>
          <w:lang w:val="uk-UA" w:eastAsia="ru-RU"/>
        </w:rPr>
        <w:t>ПОСТАНОВА</w:t>
      </w:r>
    </w:p>
    <w:p w14:paraId="6BCF09F7" w14:textId="77777777" w:rsidR="00E97D08" w:rsidRPr="008F25EC" w:rsidRDefault="00E97D08" w:rsidP="00E97D08">
      <w:pPr>
        <w:widowControl w:val="0"/>
        <w:spacing w:after="0" w:line="240" w:lineRule="auto"/>
        <w:rPr>
          <w:rFonts w:ascii="Times New Roman" w:hAnsi="Times New Roman"/>
          <w:sz w:val="28"/>
          <w:szCs w:val="28"/>
          <w:lang w:val="uk-UA" w:eastAsia="ru-RU"/>
        </w:rPr>
      </w:pPr>
    </w:p>
    <w:p w14:paraId="00BE40EB" w14:textId="77777777" w:rsidR="00E97D08" w:rsidRPr="008F25EC" w:rsidRDefault="00E97D08" w:rsidP="00E97D08">
      <w:pPr>
        <w:widowControl w:val="0"/>
        <w:spacing w:after="0" w:line="240" w:lineRule="auto"/>
        <w:jc w:val="center"/>
        <w:rPr>
          <w:rFonts w:ascii="Times New Roman" w:hAnsi="Times New Roman"/>
          <w:sz w:val="28"/>
          <w:szCs w:val="28"/>
          <w:lang w:val="uk-UA" w:eastAsia="ru-RU"/>
        </w:rPr>
      </w:pPr>
      <w:r w:rsidRPr="008F25EC">
        <w:rPr>
          <w:rFonts w:ascii="Times New Roman" w:hAnsi="Times New Roman"/>
          <w:sz w:val="28"/>
          <w:szCs w:val="28"/>
          <w:lang w:val="uk-UA" w:eastAsia="ru-RU"/>
        </w:rPr>
        <w:t>від __________ 2017 р. № ___</w:t>
      </w:r>
    </w:p>
    <w:p w14:paraId="1DCD3856" w14:textId="77777777" w:rsidR="00E97D08" w:rsidRPr="008F25EC" w:rsidRDefault="00E97D08" w:rsidP="00E97D08">
      <w:pPr>
        <w:widowControl w:val="0"/>
        <w:spacing w:after="0" w:line="240" w:lineRule="auto"/>
        <w:jc w:val="both"/>
        <w:rPr>
          <w:rFonts w:ascii="Times New Roman" w:hAnsi="Times New Roman" w:cs="Times New Roman"/>
          <w:sz w:val="28"/>
          <w:szCs w:val="28"/>
          <w:lang w:val="uk-UA" w:eastAsia="ru-RU"/>
        </w:rPr>
      </w:pPr>
    </w:p>
    <w:p w14:paraId="64F70139" w14:textId="77777777" w:rsidR="00E97D08" w:rsidRPr="008F25EC" w:rsidRDefault="00E97D08" w:rsidP="00E97D08">
      <w:pPr>
        <w:widowControl w:val="0"/>
        <w:spacing w:after="0" w:line="240" w:lineRule="auto"/>
        <w:jc w:val="center"/>
        <w:rPr>
          <w:rFonts w:ascii="Times New Roman" w:hAnsi="Times New Roman" w:cs="Times New Roman"/>
          <w:sz w:val="28"/>
          <w:szCs w:val="28"/>
          <w:lang w:val="uk-UA" w:eastAsia="ru-RU"/>
        </w:rPr>
      </w:pPr>
      <w:r w:rsidRPr="008F25EC">
        <w:rPr>
          <w:rFonts w:ascii="Times New Roman" w:hAnsi="Times New Roman" w:cs="Times New Roman"/>
          <w:sz w:val="28"/>
          <w:szCs w:val="28"/>
          <w:lang w:val="uk-UA" w:eastAsia="ru-RU"/>
        </w:rPr>
        <w:t>Київ</w:t>
      </w:r>
    </w:p>
    <w:p w14:paraId="72F6E612" w14:textId="77777777" w:rsidR="00E97D08" w:rsidRPr="008F25EC" w:rsidRDefault="00E97D08" w:rsidP="00E97D08">
      <w:pPr>
        <w:widowControl w:val="0"/>
        <w:spacing w:after="0" w:line="240" w:lineRule="auto"/>
        <w:jc w:val="both"/>
        <w:rPr>
          <w:rFonts w:ascii="Times New Roman" w:hAnsi="Times New Roman" w:cs="Times New Roman"/>
          <w:sz w:val="28"/>
          <w:szCs w:val="28"/>
          <w:lang w:val="uk-UA"/>
        </w:rPr>
      </w:pPr>
    </w:p>
    <w:p w14:paraId="04E53A87" w14:textId="77777777" w:rsidR="00E97D08" w:rsidRPr="008F25EC" w:rsidRDefault="00E97D08" w:rsidP="00E97D08">
      <w:pPr>
        <w:widowControl w:val="0"/>
        <w:spacing w:after="0" w:line="240" w:lineRule="auto"/>
        <w:jc w:val="both"/>
        <w:rPr>
          <w:rFonts w:ascii="Times New Roman" w:hAnsi="Times New Roman" w:cs="Times New Roman"/>
          <w:sz w:val="28"/>
          <w:szCs w:val="28"/>
          <w:lang w:val="uk-UA"/>
        </w:rPr>
      </w:pPr>
    </w:p>
    <w:p w14:paraId="142EF842" w14:textId="77777777" w:rsidR="00E97D08" w:rsidRPr="008F25EC" w:rsidRDefault="00E97D08" w:rsidP="00E97D08">
      <w:pPr>
        <w:shd w:val="clear" w:color="auto" w:fill="FFFFFF"/>
        <w:spacing w:before="120" w:after="120" w:line="240" w:lineRule="auto"/>
        <w:jc w:val="center"/>
        <w:textAlignment w:val="baseline"/>
        <w:rPr>
          <w:rFonts w:ascii="Times New Roman" w:eastAsia="Times New Roman" w:hAnsi="Times New Roman" w:cs="Times New Roman"/>
          <w:color w:val="000000"/>
          <w:sz w:val="28"/>
          <w:szCs w:val="28"/>
          <w:lang w:val="uk-UA" w:eastAsia="ru-RU"/>
        </w:rPr>
      </w:pPr>
      <w:r w:rsidRPr="008F25EC">
        <w:rPr>
          <w:rFonts w:ascii="Times New Roman" w:eastAsia="Times New Roman" w:hAnsi="Times New Roman" w:cs="Times New Roman"/>
          <w:b/>
          <w:bCs/>
          <w:color w:val="000000"/>
          <w:sz w:val="28"/>
          <w:szCs w:val="28"/>
          <w:bdr w:val="none" w:sz="0" w:space="0" w:color="auto" w:frame="1"/>
          <w:lang w:val="uk-UA" w:eastAsia="ru-RU"/>
        </w:rPr>
        <w:t xml:space="preserve">Про затвердження методики розроблення </w:t>
      </w:r>
      <w:r w:rsidRPr="008F25EC">
        <w:rPr>
          <w:rFonts w:ascii="Times New Roman" w:hAnsi="Times New Roman" w:cs="Times New Roman"/>
          <w:b/>
          <w:sz w:val="28"/>
          <w:szCs w:val="28"/>
          <w:lang w:val="uk-UA"/>
        </w:rPr>
        <w:t>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bookmarkStart w:id="1" w:name="n4"/>
      <w:bookmarkEnd w:id="1"/>
    </w:p>
    <w:p w14:paraId="318E5321" w14:textId="77777777" w:rsidR="00E97D08" w:rsidRPr="008F25EC" w:rsidRDefault="00E97D08" w:rsidP="00E97D08">
      <w:pPr>
        <w:widowControl w:val="0"/>
        <w:tabs>
          <w:tab w:val="left" w:pos="1134"/>
        </w:tabs>
        <w:spacing w:after="0" w:line="240" w:lineRule="auto"/>
        <w:jc w:val="both"/>
        <w:rPr>
          <w:rFonts w:ascii="Times New Roman" w:hAnsi="Times New Roman" w:cs="Times New Roman"/>
          <w:sz w:val="28"/>
          <w:szCs w:val="28"/>
          <w:lang w:val="uk-UA" w:eastAsia="ru-RU"/>
        </w:rPr>
      </w:pPr>
    </w:p>
    <w:p w14:paraId="447DBB93" w14:textId="5EDA7717" w:rsidR="0020022F" w:rsidRPr="008F25EC" w:rsidRDefault="00905FC6" w:rsidP="00E97D08">
      <w:pPr>
        <w:shd w:val="clear" w:color="auto" w:fill="FFFFFF"/>
        <w:tabs>
          <w:tab w:val="left" w:pos="1134"/>
        </w:tabs>
        <w:spacing w:before="60" w:after="6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8F25EC">
        <w:rPr>
          <w:rFonts w:ascii="Times New Roman" w:eastAsia="Times New Roman" w:hAnsi="Times New Roman" w:cs="Times New Roman"/>
          <w:color w:val="000000"/>
          <w:sz w:val="28"/>
          <w:szCs w:val="28"/>
          <w:lang w:val="uk-UA" w:eastAsia="ru-RU"/>
        </w:rPr>
        <w:t xml:space="preserve">Відповідно до </w:t>
      </w:r>
      <w:r w:rsidR="00C57ECA" w:rsidRPr="008F25EC">
        <w:rPr>
          <w:rFonts w:ascii="Times New Roman" w:hAnsi="Times New Roman" w:cs="Times New Roman"/>
          <w:sz w:val="28"/>
          <w:szCs w:val="28"/>
          <w:lang w:val="uk-UA"/>
        </w:rPr>
        <w:t xml:space="preserve">частини другої статті 5 </w:t>
      </w:r>
      <w:r w:rsidRPr="008F25EC">
        <w:rPr>
          <w:rFonts w:ascii="Times New Roman" w:eastAsia="Times New Roman" w:hAnsi="Times New Roman" w:cs="Times New Roman"/>
          <w:color w:val="000000"/>
          <w:sz w:val="28"/>
          <w:szCs w:val="28"/>
          <w:lang w:val="uk-UA" w:eastAsia="ru-RU"/>
        </w:rPr>
        <w:t>Закону</w:t>
      </w:r>
      <w:r w:rsidR="009831EF" w:rsidRPr="008F25EC">
        <w:rPr>
          <w:rFonts w:ascii="Times New Roman" w:eastAsia="Times New Roman" w:hAnsi="Times New Roman" w:cs="Times New Roman"/>
          <w:color w:val="000000"/>
          <w:sz w:val="28"/>
          <w:szCs w:val="28"/>
          <w:lang w:val="uk-UA" w:eastAsia="ru-RU"/>
        </w:rPr>
        <w:t xml:space="preserve"> України “Про основні засади державного нагляду (контролю) у сфері господарської діяльності” </w:t>
      </w:r>
      <w:r w:rsidR="0020022F" w:rsidRPr="008F25EC">
        <w:rPr>
          <w:rFonts w:ascii="Times New Roman" w:eastAsia="Times New Roman" w:hAnsi="Times New Roman" w:cs="Times New Roman"/>
          <w:color w:val="000000"/>
          <w:sz w:val="28"/>
          <w:szCs w:val="28"/>
          <w:lang w:val="uk-UA" w:eastAsia="ru-RU"/>
        </w:rPr>
        <w:t>Кабінет Міністрів України</w:t>
      </w:r>
      <w:r w:rsidR="00E97D08" w:rsidRPr="008F25EC">
        <w:rPr>
          <w:rFonts w:ascii="Times New Roman" w:eastAsia="Times New Roman" w:hAnsi="Times New Roman" w:cs="Times New Roman"/>
          <w:color w:val="000000"/>
          <w:sz w:val="28"/>
          <w:szCs w:val="28"/>
          <w:lang w:val="uk-UA" w:eastAsia="ru-RU"/>
        </w:rPr>
        <w:t xml:space="preserve"> </w:t>
      </w:r>
      <w:r w:rsidR="0020022F" w:rsidRPr="008F25EC">
        <w:rPr>
          <w:rFonts w:ascii="Times New Roman" w:eastAsia="Times New Roman" w:hAnsi="Times New Roman" w:cs="Times New Roman"/>
          <w:b/>
          <w:bCs/>
          <w:color w:val="000000"/>
          <w:spacing w:val="30"/>
          <w:sz w:val="28"/>
          <w:szCs w:val="28"/>
          <w:bdr w:val="none" w:sz="0" w:space="0" w:color="auto" w:frame="1"/>
          <w:lang w:val="uk-UA" w:eastAsia="ru-RU"/>
        </w:rPr>
        <w:t>постановляє:</w:t>
      </w:r>
    </w:p>
    <w:p w14:paraId="2691BCD6" w14:textId="18C97AC8" w:rsidR="0020022F" w:rsidRPr="008F25EC" w:rsidRDefault="0020022F" w:rsidP="00E97D08">
      <w:pPr>
        <w:pStyle w:val="a3"/>
        <w:numPr>
          <w:ilvl w:val="0"/>
          <w:numId w:val="2"/>
        </w:numPr>
        <w:shd w:val="clear" w:color="auto" w:fill="FFFFFF"/>
        <w:tabs>
          <w:tab w:val="left" w:pos="1134"/>
        </w:tabs>
        <w:spacing w:before="60" w:after="60" w:line="240" w:lineRule="auto"/>
        <w:ind w:left="0" w:firstLine="709"/>
        <w:contextualSpacing w:val="0"/>
        <w:jc w:val="both"/>
        <w:textAlignment w:val="baseline"/>
        <w:rPr>
          <w:rFonts w:ascii="Times New Roman" w:eastAsia="Times New Roman" w:hAnsi="Times New Roman" w:cs="Times New Roman"/>
          <w:color w:val="000000"/>
          <w:sz w:val="28"/>
          <w:szCs w:val="28"/>
          <w:lang w:val="uk-UA" w:eastAsia="ru-RU"/>
        </w:rPr>
      </w:pPr>
      <w:bookmarkStart w:id="2" w:name="n5"/>
      <w:bookmarkEnd w:id="2"/>
      <w:r w:rsidRPr="008F25EC">
        <w:rPr>
          <w:rFonts w:ascii="Times New Roman" w:eastAsia="Times New Roman" w:hAnsi="Times New Roman" w:cs="Times New Roman"/>
          <w:color w:val="000000"/>
          <w:sz w:val="28"/>
          <w:szCs w:val="28"/>
          <w:lang w:val="uk-UA" w:eastAsia="ru-RU"/>
        </w:rPr>
        <w:t xml:space="preserve">Затвердити </w:t>
      </w:r>
      <w:r w:rsidR="00BA216F" w:rsidRPr="008F25EC">
        <w:rPr>
          <w:rFonts w:ascii="Times New Roman" w:eastAsia="Times New Roman" w:hAnsi="Times New Roman" w:cs="Times New Roman"/>
          <w:color w:val="000000"/>
          <w:sz w:val="28"/>
          <w:szCs w:val="28"/>
          <w:lang w:val="uk-UA" w:eastAsia="ru-RU"/>
        </w:rPr>
        <w:t xml:space="preserve">Методику розроблення </w:t>
      </w:r>
      <w:r w:rsidR="00C03618" w:rsidRPr="008F25EC">
        <w:rPr>
          <w:rFonts w:ascii="Times New Roman" w:eastAsia="Times New Roman" w:hAnsi="Times New Roman" w:cs="Times New Roman"/>
          <w:color w:val="000000"/>
          <w:sz w:val="28"/>
          <w:szCs w:val="28"/>
          <w:lang w:val="uk-UA" w:eastAsia="ru-RU"/>
        </w:rPr>
        <w:t>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r w:rsidR="00BA216F" w:rsidRPr="008F25EC">
        <w:rPr>
          <w:rFonts w:ascii="Times New Roman" w:eastAsia="Times New Roman" w:hAnsi="Times New Roman" w:cs="Times New Roman"/>
          <w:color w:val="000000"/>
          <w:sz w:val="28"/>
          <w:szCs w:val="28"/>
          <w:lang w:val="uk-UA" w:eastAsia="ru-RU"/>
        </w:rPr>
        <w:t>, що додає</w:t>
      </w:r>
      <w:r w:rsidR="0028725F" w:rsidRPr="008F25EC">
        <w:rPr>
          <w:rFonts w:ascii="Times New Roman" w:eastAsia="Times New Roman" w:hAnsi="Times New Roman" w:cs="Times New Roman"/>
          <w:color w:val="000000"/>
          <w:sz w:val="28"/>
          <w:szCs w:val="28"/>
          <w:lang w:val="uk-UA" w:eastAsia="ru-RU"/>
        </w:rPr>
        <w:t>ться.</w:t>
      </w:r>
    </w:p>
    <w:p w14:paraId="40062DB1" w14:textId="219C3E47" w:rsidR="00094AAE" w:rsidRPr="008F25EC" w:rsidRDefault="00094AAE" w:rsidP="00E97D08">
      <w:pPr>
        <w:pStyle w:val="a3"/>
        <w:numPr>
          <w:ilvl w:val="0"/>
          <w:numId w:val="2"/>
        </w:numPr>
        <w:shd w:val="clear" w:color="auto" w:fill="FFFFFF"/>
        <w:tabs>
          <w:tab w:val="left" w:pos="1134"/>
        </w:tabs>
        <w:spacing w:before="60" w:after="60" w:line="240" w:lineRule="auto"/>
        <w:ind w:left="0" w:firstLine="709"/>
        <w:contextualSpacing w:val="0"/>
        <w:jc w:val="both"/>
        <w:textAlignment w:val="baseline"/>
        <w:rPr>
          <w:rFonts w:ascii="Times New Roman" w:eastAsia="Times New Roman" w:hAnsi="Times New Roman" w:cs="Times New Roman"/>
          <w:color w:val="000000"/>
          <w:sz w:val="28"/>
          <w:szCs w:val="28"/>
          <w:lang w:val="uk-UA" w:eastAsia="ru-RU"/>
        </w:rPr>
      </w:pPr>
      <w:r w:rsidRPr="008F25EC">
        <w:rPr>
          <w:rFonts w:ascii="Times New Roman" w:eastAsia="Times New Roman" w:hAnsi="Times New Roman" w:cs="Times New Roman"/>
          <w:color w:val="000000"/>
          <w:sz w:val="28"/>
          <w:szCs w:val="28"/>
          <w:lang w:val="uk-UA" w:eastAsia="ru-RU"/>
        </w:rPr>
        <w:t xml:space="preserve">Органам </w:t>
      </w:r>
      <w:r w:rsidR="000E7CC9" w:rsidRPr="008F25EC">
        <w:rPr>
          <w:rFonts w:ascii="Times New Roman" w:eastAsia="Times New Roman" w:hAnsi="Times New Roman" w:cs="Times New Roman"/>
          <w:color w:val="000000"/>
          <w:sz w:val="28"/>
          <w:szCs w:val="28"/>
          <w:lang w:val="uk-UA" w:eastAsia="ru-RU"/>
        </w:rPr>
        <w:t>державного нагляду (контролю) протягом трьох місяців</w:t>
      </w:r>
      <w:r w:rsidR="007C5681" w:rsidRPr="008F25EC">
        <w:rPr>
          <w:rFonts w:ascii="Times New Roman" w:eastAsia="Times New Roman" w:hAnsi="Times New Roman" w:cs="Times New Roman"/>
          <w:color w:val="000000"/>
          <w:sz w:val="28"/>
          <w:szCs w:val="28"/>
          <w:lang w:val="uk-UA" w:eastAsia="ru-RU"/>
        </w:rPr>
        <w:t xml:space="preserve"> провести оцінку ризиків та розробити </w:t>
      </w:r>
      <w:r w:rsidR="00F80A55" w:rsidRPr="008F25EC">
        <w:rPr>
          <w:rFonts w:ascii="Times New Roman" w:eastAsia="Times New Roman" w:hAnsi="Times New Roman" w:cs="Times New Roman"/>
          <w:color w:val="000000"/>
          <w:sz w:val="28"/>
          <w:szCs w:val="28"/>
          <w:lang w:val="uk-UA" w:eastAsia="ru-RU"/>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r w:rsidR="00D96E34" w:rsidRPr="008F25EC">
        <w:rPr>
          <w:rFonts w:ascii="Times New Roman" w:eastAsia="Times New Roman" w:hAnsi="Times New Roman" w:cs="Times New Roman"/>
          <w:color w:val="000000"/>
          <w:sz w:val="28"/>
          <w:szCs w:val="28"/>
          <w:lang w:val="uk-UA" w:eastAsia="ru-RU"/>
        </w:rPr>
        <w:t>.</w:t>
      </w:r>
    </w:p>
    <w:p w14:paraId="4813B1DF" w14:textId="77777777" w:rsidR="0020022F" w:rsidRPr="008F25EC" w:rsidRDefault="0020022F" w:rsidP="00E97D08">
      <w:pPr>
        <w:pStyle w:val="a3"/>
        <w:numPr>
          <w:ilvl w:val="0"/>
          <w:numId w:val="2"/>
        </w:numPr>
        <w:shd w:val="clear" w:color="auto" w:fill="FFFFFF"/>
        <w:tabs>
          <w:tab w:val="left" w:pos="1134"/>
        </w:tabs>
        <w:spacing w:before="60" w:after="60" w:line="240" w:lineRule="auto"/>
        <w:ind w:left="0" w:firstLine="709"/>
        <w:contextualSpacing w:val="0"/>
        <w:jc w:val="both"/>
        <w:textAlignment w:val="baseline"/>
        <w:rPr>
          <w:rFonts w:ascii="Times New Roman" w:eastAsia="Times New Roman" w:hAnsi="Times New Roman" w:cs="Times New Roman"/>
          <w:color w:val="000000"/>
          <w:sz w:val="28"/>
          <w:szCs w:val="28"/>
          <w:lang w:val="uk-UA" w:eastAsia="ru-RU"/>
        </w:rPr>
      </w:pPr>
      <w:bookmarkStart w:id="3" w:name="n6"/>
      <w:bookmarkStart w:id="4" w:name="n8"/>
      <w:bookmarkEnd w:id="3"/>
      <w:bookmarkEnd w:id="4"/>
      <w:r w:rsidRPr="008F25EC">
        <w:rPr>
          <w:rFonts w:ascii="Times New Roman" w:eastAsia="Times New Roman" w:hAnsi="Times New Roman" w:cs="Times New Roman"/>
          <w:color w:val="000000"/>
          <w:sz w:val="28"/>
          <w:szCs w:val="28"/>
          <w:lang w:val="uk-UA" w:eastAsia="ru-RU"/>
        </w:rPr>
        <w:t>Міністерствам, іншим центральним органам виконавчої влади у тримісячний строк:</w:t>
      </w:r>
    </w:p>
    <w:p w14:paraId="369B984C" w14:textId="77777777" w:rsidR="0020022F" w:rsidRPr="008F25EC" w:rsidRDefault="0020022F" w:rsidP="00E97D08">
      <w:pPr>
        <w:pStyle w:val="a3"/>
        <w:shd w:val="clear" w:color="auto" w:fill="FFFFFF"/>
        <w:tabs>
          <w:tab w:val="left" w:pos="1134"/>
        </w:tabs>
        <w:spacing w:before="60" w:after="60" w:line="240" w:lineRule="auto"/>
        <w:ind w:left="0" w:firstLine="709"/>
        <w:contextualSpacing w:val="0"/>
        <w:jc w:val="both"/>
        <w:textAlignment w:val="baseline"/>
        <w:rPr>
          <w:rFonts w:ascii="Times New Roman" w:eastAsia="Times New Roman" w:hAnsi="Times New Roman" w:cs="Times New Roman"/>
          <w:color w:val="000000"/>
          <w:sz w:val="28"/>
          <w:szCs w:val="28"/>
          <w:lang w:val="uk-UA" w:eastAsia="ru-RU"/>
        </w:rPr>
      </w:pPr>
      <w:bookmarkStart w:id="5" w:name="n9"/>
      <w:bookmarkEnd w:id="5"/>
      <w:r w:rsidRPr="008F25EC">
        <w:rPr>
          <w:rFonts w:ascii="Times New Roman" w:eastAsia="Times New Roman" w:hAnsi="Times New Roman" w:cs="Times New Roman"/>
          <w:color w:val="000000"/>
          <w:sz w:val="28"/>
          <w:szCs w:val="28"/>
          <w:lang w:val="uk-UA" w:eastAsia="ru-RU"/>
        </w:rPr>
        <w:t>подати пропозиції щодо приведення актів Кабінету Міністрів України у відповідність з цією постановою;</w:t>
      </w:r>
    </w:p>
    <w:p w14:paraId="0A2E5EC0" w14:textId="77777777" w:rsidR="0020022F" w:rsidRPr="008F25EC" w:rsidRDefault="0020022F" w:rsidP="00E97D08">
      <w:pPr>
        <w:pStyle w:val="a3"/>
        <w:shd w:val="clear" w:color="auto" w:fill="FFFFFF"/>
        <w:tabs>
          <w:tab w:val="left" w:pos="1134"/>
        </w:tabs>
        <w:spacing w:before="60" w:after="60" w:line="240" w:lineRule="auto"/>
        <w:ind w:left="0" w:firstLine="709"/>
        <w:contextualSpacing w:val="0"/>
        <w:jc w:val="both"/>
        <w:textAlignment w:val="baseline"/>
        <w:rPr>
          <w:rFonts w:ascii="Times New Roman" w:eastAsia="Times New Roman" w:hAnsi="Times New Roman" w:cs="Times New Roman"/>
          <w:color w:val="000000"/>
          <w:sz w:val="28"/>
          <w:szCs w:val="28"/>
          <w:lang w:val="uk-UA" w:eastAsia="ru-RU"/>
        </w:rPr>
      </w:pPr>
      <w:bookmarkStart w:id="6" w:name="n10"/>
      <w:bookmarkEnd w:id="6"/>
      <w:r w:rsidRPr="008F25EC">
        <w:rPr>
          <w:rFonts w:ascii="Times New Roman" w:eastAsia="Times New Roman" w:hAnsi="Times New Roman" w:cs="Times New Roman"/>
          <w:color w:val="000000"/>
          <w:sz w:val="28"/>
          <w:szCs w:val="28"/>
          <w:lang w:val="uk-UA" w:eastAsia="ru-RU"/>
        </w:rPr>
        <w:t>привести власні нормативно-правові акти у відповідність з цією постановою.</w:t>
      </w:r>
    </w:p>
    <w:p w14:paraId="79FCF9D5" w14:textId="37F1D934" w:rsidR="00E97D08" w:rsidRPr="008F25EC" w:rsidRDefault="0028725F" w:rsidP="00E97D08">
      <w:pPr>
        <w:pStyle w:val="a3"/>
        <w:numPr>
          <w:ilvl w:val="0"/>
          <w:numId w:val="2"/>
        </w:numPr>
        <w:shd w:val="clear" w:color="auto" w:fill="FFFFFF"/>
        <w:tabs>
          <w:tab w:val="left" w:pos="1134"/>
        </w:tabs>
        <w:spacing w:before="60" w:after="60" w:line="240" w:lineRule="auto"/>
        <w:ind w:left="0" w:firstLine="709"/>
        <w:contextualSpacing w:val="0"/>
        <w:jc w:val="both"/>
        <w:textAlignment w:val="baseline"/>
        <w:rPr>
          <w:rFonts w:ascii="Times New Roman" w:eastAsia="Times New Roman" w:hAnsi="Times New Roman" w:cs="Times New Roman"/>
          <w:color w:val="000000"/>
          <w:sz w:val="28"/>
          <w:szCs w:val="28"/>
          <w:lang w:val="uk-UA" w:eastAsia="ru-RU"/>
        </w:rPr>
      </w:pPr>
      <w:r w:rsidRPr="008F25EC">
        <w:rPr>
          <w:rFonts w:ascii="Times New Roman" w:eastAsia="Times New Roman" w:hAnsi="Times New Roman" w:cs="Times New Roman"/>
          <w:color w:val="000000"/>
          <w:sz w:val="28"/>
          <w:szCs w:val="28"/>
          <w:lang w:val="uk-UA" w:eastAsia="ru-RU"/>
        </w:rPr>
        <w:t>Визнати такою, що втратила чинність,</w:t>
      </w:r>
      <w:r w:rsidR="00F00EE2" w:rsidRPr="008F25EC">
        <w:rPr>
          <w:rFonts w:ascii="Times New Roman" w:eastAsia="Times New Roman" w:hAnsi="Times New Roman" w:cs="Times New Roman"/>
          <w:color w:val="000000"/>
          <w:sz w:val="28"/>
          <w:szCs w:val="28"/>
          <w:lang w:val="uk-UA" w:eastAsia="ru-RU"/>
        </w:rPr>
        <w:t xml:space="preserve"> </w:t>
      </w:r>
      <w:r w:rsidR="001D3FF1" w:rsidRPr="008F25EC">
        <w:rPr>
          <w:rFonts w:ascii="Times New Roman" w:eastAsia="Times New Roman" w:hAnsi="Times New Roman" w:cs="Times New Roman"/>
          <w:color w:val="000000"/>
          <w:sz w:val="28"/>
          <w:szCs w:val="28"/>
          <w:lang w:val="uk-UA" w:eastAsia="ru-RU"/>
        </w:rPr>
        <w:t xml:space="preserve">постанову Кабінету Міністрів України </w:t>
      </w:r>
      <w:r w:rsidR="00F00EE2" w:rsidRPr="008F25EC">
        <w:rPr>
          <w:rFonts w:ascii="Times New Roman" w:eastAsia="Times New Roman" w:hAnsi="Times New Roman" w:cs="Times New Roman"/>
          <w:color w:val="000000"/>
          <w:sz w:val="28"/>
          <w:szCs w:val="28"/>
          <w:lang w:val="uk-UA" w:eastAsia="ru-RU"/>
        </w:rPr>
        <w:t xml:space="preserve">від 28 серпня 2013 р. № 752 </w:t>
      </w:r>
      <w:r w:rsidR="001D3FF1" w:rsidRPr="008F25EC">
        <w:rPr>
          <w:rFonts w:ascii="Times New Roman" w:eastAsia="Times New Roman" w:hAnsi="Times New Roman" w:cs="Times New Roman"/>
          <w:color w:val="000000"/>
          <w:sz w:val="28"/>
          <w:szCs w:val="28"/>
          <w:lang w:val="uk-UA" w:eastAsia="ru-RU"/>
        </w:rPr>
        <w:t>«</w:t>
      </w:r>
      <w:r w:rsidR="00F00EE2" w:rsidRPr="008F25EC">
        <w:rPr>
          <w:rFonts w:ascii="Times New Roman" w:eastAsia="Times New Roman" w:hAnsi="Times New Roman" w:cs="Times New Roman"/>
          <w:color w:val="000000"/>
          <w:sz w:val="28"/>
          <w:szCs w:val="28"/>
          <w:lang w:val="uk-UA" w:eastAsia="ru-RU"/>
        </w:rPr>
        <w:t xml:space="preserve">Про затвердження </w:t>
      </w:r>
      <w:proofErr w:type="spellStart"/>
      <w:r w:rsidR="00F00EE2" w:rsidRPr="008F25EC">
        <w:rPr>
          <w:rFonts w:ascii="Times New Roman" w:eastAsia="Times New Roman" w:hAnsi="Times New Roman" w:cs="Times New Roman"/>
          <w:color w:val="000000"/>
          <w:sz w:val="28"/>
          <w:szCs w:val="28"/>
          <w:lang w:val="uk-UA" w:eastAsia="ru-RU"/>
        </w:rPr>
        <w:t>методик</w:t>
      </w:r>
      <w:proofErr w:type="spellEnd"/>
      <w:r w:rsidR="00F00EE2" w:rsidRPr="008F25EC">
        <w:rPr>
          <w:rFonts w:ascii="Times New Roman" w:eastAsia="Times New Roman" w:hAnsi="Times New Roman" w:cs="Times New Roman"/>
          <w:color w:val="000000"/>
          <w:sz w:val="28"/>
          <w:szCs w:val="28"/>
          <w:lang w:val="uk-UA" w:eastAsia="ru-RU"/>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w:t>
      </w:r>
      <w:r w:rsidR="00F00EE2" w:rsidRPr="008F25EC">
        <w:rPr>
          <w:rFonts w:ascii="Times New Roman" w:eastAsia="Times New Roman" w:hAnsi="Times New Roman" w:cs="Times New Roman"/>
          <w:color w:val="000000"/>
          <w:sz w:val="28"/>
          <w:szCs w:val="28"/>
          <w:lang w:val="uk-UA" w:eastAsia="ru-RU"/>
        </w:rPr>
        <w:lastRenderedPageBreak/>
        <w:t>державного нагляду (контролю)</w:t>
      </w:r>
      <w:r w:rsidR="005C26F7" w:rsidRPr="008F25EC">
        <w:rPr>
          <w:rFonts w:ascii="Times New Roman" w:eastAsia="Times New Roman" w:hAnsi="Times New Roman" w:cs="Times New Roman"/>
          <w:color w:val="000000"/>
          <w:sz w:val="28"/>
          <w:szCs w:val="28"/>
          <w:lang w:val="uk-UA" w:eastAsia="ru-RU"/>
        </w:rPr>
        <w:t xml:space="preserve"> (Офіційний вісник України, </w:t>
      </w:r>
      <w:r w:rsidR="00D556B0" w:rsidRPr="008F25EC">
        <w:rPr>
          <w:rFonts w:ascii="Times New Roman" w:eastAsia="Times New Roman" w:hAnsi="Times New Roman" w:cs="Times New Roman"/>
          <w:color w:val="000000"/>
          <w:sz w:val="28"/>
          <w:szCs w:val="28"/>
          <w:lang w:val="uk-UA" w:eastAsia="ru-RU"/>
        </w:rPr>
        <w:t>2013 р., № 82, ст.</w:t>
      </w:r>
      <w:r w:rsidR="005C26F7" w:rsidRPr="008F25EC">
        <w:rPr>
          <w:rFonts w:ascii="Times New Roman" w:eastAsia="Times New Roman" w:hAnsi="Times New Roman" w:cs="Times New Roman"/>
          <w:color w:val="000000"/>
          <w:sz w:val="28"/>
          <w:szCs w:val="28"/>
          <w:lang w:val="uk-UA" w:eastAsia="ru-RU"/>
        </w:rPr>
        <w:t>147)</w:t>
      </w:r>
      <w:r w:rsidR="001D3FF1" w:rsidRPr="008F25EC">
        <w:rPr>
          <w:rFonts w:ascii="Times New Roman" w:eastAsia="Times New Roman" w:hAnsi="Times New Roman" w:cs="Times New Roman"/>
          <w:color w:val="000000"/>
          <w:sz w:val="28"/>
          <w:szCs w:val="28"/>
          <w:lang w:val="uk-UA" w:eastAsia="ru-RU"/>
        </w:rPr>
        <w:t>»</w:t>
      </w:r>
      <w:r w:rsidR="00F7368A" w:rsidRPr="008F25EC">
        <w:rPr>
          <w:rFonts w:ascii="Times New Roman" w:eastAsia="Times New Roman" w:hAnsi="Times New Roman" w:cs="Times New Roman"/>
          <w:color w:val="000000"/>
          <w:sz w:val="28"/>
          <w:szCs w:val="28"/>
          <w:lang w:val="uk-UA" w:eastAsia="ru-RU"/>
        </w:rPr>
        <w:t>.</w:t>
      </w:r>
      <w:bookmarkStart w:id="7" w:name="n11"/>
      <w:bookmarkEnd w:id="7"/>
    </w:p>
    <w:p w14:paraId="54265E74" w14:textId="77777777" w:rsidR="00E97D08" w:rsidRPr="008F25EC" w:rsidRDefault="00E97D08" w:rsidP="00E97D08">
      <w:pPr>
        <w:shd w:val="clear" w:color="auto" w:fill="FFFFFF"/>
        <w:tabs>
          <w:tab w:val="left" w:pos="1134"/>
        </w:tabs>
        <w:spacing w:before="120" w:after="120" w:line="240" w:lineRule="auto"/>
        <w:jc w:val="both"/>
        <w:textAlignment w:val="baseline"/>
        <w:rPr>
          <w:rFonts w:ascii="Times New Roman" w:eastAsia="Times New Roman" w:hAnsi="Times New Roman" w:cs="Times New Roman"/>
          <w:color w:val="000000"/>
          <w:sz w:val="28"/>
          <w:szCs w:val="28"/>
          <w:lang w:val="uk-UA" w:eastAsia="ru-RU"/>
        </w:rPr>
      </w:pPr>
    </w:p>
    <w:p w14:paraId="3F40F887" w14:textId="77777777" w:rsidR="00E97D08" w:rsidRPr="008F25EC" w:rsidRDefault="00E97D08" w:rsidP="00E97D08">
      <w:pPr>
        <w:widowControl w:val="0"/>
        <w:tabs>
          <w:tab w:val="left" w:pos="1134"/>
        </w:tabs>
        <w:spacing w:after="0" w:line="240" w:lineRule="auto"/>
        <w:contextualSpacing/>
        <w:jc w:val="both"/>
        <w:rPr>
          <w:rFonts w:ascii="Times New Roman" w:hAnsi="Times New Roman" w:cs="Times New Roman"/>
          <w:b/>
          <w:sz w:val="28"/>
          <w:szCs w:val="28"/>
          <w:lang w:val="uk-UA"/>
        </w:rPr>
      </w:pPr>
      <w:r w:rsidRPr="008F25EC">
        <w:rPr>
          <w:rFonts w:ascii="Times New Roman" w:hAnsi="Times New Roman" w:cs="Times New Roman"/>
          <w:b/>
          <w:sz w:val="28"/>
          <w:szCs w:val="28"/>
          <w:lang w:val="uk-UA"/>
        </w:rPr>
        <w:t xml:space="preserve">          Прем’єр-міністр України                                                 </w:t>
      </w:r>
      <w:r w:rsidRPr="008F25EC">
        <w:rPr>
          <w:rFonts w:ascii="Times New Roman" w:eastAsia="Times New Roman" w:hAnsi="Times New Roman" w:cs="Times New Roman"/>
          <w:b/>
          <w:bCs/>
          <w:color w:val="000000"/>
          <w:sz w:val="28"/>
          <w:szCs w:val="28"/>
          <w:shd w:val="clear" w:color="auto" w:fill="FFFFFF"/>
          <w:lang w:val="uk-UA" w:eastAsia="ru-RU"/>
        </w:rPr>
        <w:t>В. ГРОЙСМАН</w:t>
      </w:r>
    </w:p>
    <w:p w14:paraId="1F4D7169" w14:textId="7AEDFFF3" w:rsidR="0020022F" w:rsidRPr="008F25EC" w:rsidRDefault="0020022F" w:rsidP="00E97D08">
      <w:pPr>
        <w:tabs>
          <w:tab w:val="left" w:pos="1134"/>
        </w:tabs>
        <w:spacing w:before="120" w:after="120" w:line="240" w:lineRule="auto"/>
        <w:ind w:firstLine="709"/>
        <w:jc w:val="both"/>
        <w:rPr>
          <w:rFonts w:ascii="Times New Roman" w:hAnsi="Times New Roman" w:cs="Times New Roman"/>
          <w:b/>
          <w:sz w:val="28"/>
          <w:szCs w:val="28"/>
          <w:lang w:val="uk-UA"/>
        </w:rPr>
      </w:pPr>
      <w:r w:rsidRPr="008F25EC">
        <w:rPr>
          <w:rFonts w:ascii="Times New Roman" w:hAnsi="Times New Roman" w:cs="Times New Roman"/>
          <w:b/>
          <w:sz w:val="28"/>
          <w:szCs w:val="28"/>
          <w:lang w:val="uk-UA"/>
        </w:rPr>
        <w:br w:type="page"/>
      </w:r>
    </w:p>
    <w:p w14:paraId="4A1AA368" w14:textId="77777777" w:rsidR="00E97D08" w:rsidRPr="008F25EC" w:rsidRDefault="00E97D08" w:rsidP="008F25EC">
      <w:pPr>
        <w:widowControl w:val="0"/>
        <w:tabs>
          <w:tab w:val="left" w:pos="1134"/>
        </w:tabs>
        <w:spacing w:after="0" w:line="240" w:lineRule="auto"/>
        <w:ind w:left="4395"/>
        <w:jc w:val="center"/>
        <w:rPr>
          <w:rFonts w:ascii="Times New Roman" w:eastAsia="Times New Roman" w:hAnsi="Times New Roman" w:cs="Times New Roman"/>
          <w:color w:val="000000"/>
          <w:sz w:val="28"/>
          <w:szCs w:val="28"/>
          <w:lang w:val="uk-UA" w:eastAsia="ru-RU"/>
        </w:rPr>
      </w:pPr>
      <w:bookmarkStart w:id="8" w:name="OLE_LINK5"/>
      <w:bookmarkStart w:id="9" w:name="OLE_LINK18"/>
      <w:r w:rsidRPr="008F25EC">
        <w:rPr>
          <w:rFonts w:ascii="Times New Roman" w:eastAsia="Times New Roman" w:hAnsi="Times New Roman" w:cs="Times New Roman"/>
          <w:color w:val="000000"/>
          <w:sz w:val="28"/>
          <w:szCs w:val="28"/>
          <w:lang w:val="uk-UA" w:eastAsia="ru-RU"/>
        </w:rPr>
        <w:lastRenderedPageBreak/>
        <w:t>ЗАТВЕРДЖЕНО</w:t>
      </w:r>
      <w:r w:rsidRPr="008F25EC">
        <w:rPr>
          <w:rFonts w:ascii="Times New Roman" w:eastAsia="Times New Roman" w:hAnsi="Times New Roman" w:cs="Times New Roman"/>
          <w:color w:val="000000"/>
          <w:sz w:val="28"/>
          <w:szCs w:val="28"/>
          <w:lang w:val="uk-UA" w:eastAsia="ru-RU"/>
        </w:rPr>
        <w:br/>
        <w:t>постановою Кабінету Міністрів України</w:t>
      </w:r>
      <w:r w:rsidRPr="008F25EC">
        <w:rPr>
          <w:rFonts w:ascii="Times New Roman" w:eastAsia="Times New Roman" w:hAnsi="Times New Roman" w:cs="Times New Roman"/>
          <w:color w:val="000000"/>
          <w:sz w:val="28"/>
          <w:szCs w:val="28"/>
          <w:lang w:val="uk-UA" w:eastAsia="ru-RU"/>
        </w:rPr>
        <w:br/>
        <w:t>від _______________ 2017 р. № ____</w:t>
      </w:r>
    </w:p>
    <w:p w14:paraId="7AFB9E30" w14:textId="77777777" w:rsidR="00E97D08" w:rsidRPr="008F25EC" w:rsidRDefault="00E97D08" w:rsidP="008F25EC">
      <w:pPr>
        <w:tabs>
          <w:tab w:val="left" w:pos="1134"/>
        </w:tabs>
        <w:spacing w:after="0" w:line="240" w:lineRule="auto"/>
        <w:jc w:val="both"/>
        <w:rPr>
          <w:rFonts w:ascii="Times New Roman" w:hAnsi="Times New Roman" w:cs="Times New Roman"/>
          <w:sz w:val="28"/>
          <w:szCs w:val="28"/>
          <w:lang w:val="uk-UA"/>
        </w:rPr>
      </w:pPr>
    </w:p>
    <w:p w14:paraId="21F09206" w14:textId="77777777" w:rsidR="00E97D08" w:rsidRPr="008F25EC" w:rsidRDefault="00E97D08" w:rsidP="008F25EC">
      <w:pPr>
        <w:tabs>
          <w:tab w:val="left" w:pos="1134"/>
        </w:tabs>
        <w:spacing w:after="0" w:line="240" w:lineRule="auto"/>
        <w:jc w:val="both"/>
        <w:rPr>
          <w:rFonts w:ascii="Times New Roman" w:hAnsi="Times New Roman" w:cs="Times New Roman"/>
          <w:sz w:val="28"/>
          <w:szCs w:val="28"/>
          <w:lang w:val="uk-UA"/>
        </w:rPr>
      </w:pPr>
    </w:p>
    <w:bookmarkEnd w:id="8"/>
    <w:bookmarkEnd w:id="9"/>
    <w:p w14:paraId="50FA34AF" w14:textId="77777777" w:rsidR="00C97DE8" w:rsidRPr="008F25EC" w:rsidRDefault="00C97DE8" w:rsidP="008F25EC">
      <w:pPr>
        <w:tabs>
          <w:tab w:val="left" w:pos="1134"/>
        </w:tabs>
        <w:spacing w:after="0" w:line="240" w:lineRule="auto"/>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МЕТОДИКА</w:t>
      </w:r>
    </w:p>
    <w:p w14:paraId="771E8DA2" w14:textId="023185CB" w:rsidR="00E97D08" w:rsidRPr="008F25EC" w:rsidRDefault="009464A6" w:rsidP="008F25EC">
      <w:pPr>
        <w:tabs>
          <w:tab w:val="left" w:pos="1134"/>
        </w:tabs>
        <w:spacing w:after="0" w:line="240" w:lineRule="auto"/>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 xml:space="preserve">розроблення </w:t>
      </w:r>
      <w:r w:rsidR="00EC58DD" w:rsidRPr="008F25EC">
        <w:rPr>
          <w:rFonts w:ascii="Times New Roman" w:hAnsi="Times New Roman" w:cs="Times New Roman"/>
          <w:b/>
          <w:sz w:val="28"/>
          <w:szCs w:val="28"/>
          <w:lang w:val="uk-UA"/>
        </w:rPr>
        <w:t>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14:paraId="40E674F1" w14:textId="77777777" w:rsidR="008F25EC" w:rsidRPr="008F25EC" w:rsidRDefault="008F25EC" w:rsidP="008F25EC">
      <w:pPr>
        <w:tabs>
          <w:tab w:val="left" w:pos="1134"/>
        </w:tabs>
        <w:spacing w:after="0" w:line="240" w:lineRule="auto"/>
        <w:rPr>
          <w:rFonts w:ascii="Times New Roman" w:hAnsi="Times New Roman" w:cs="Times New Roman"/>
          <w:sz w:val="28"/>
          <w:szCs w:val="28"/>
          <w:lang w:val="uk-UA"/>
        </w:rPr>
      </w:pPr>
    </w:p>
    <w:p w14:paraId="6A2C715E" w14:textId="44C49D40" w:rsidR="00E97D08" w:rsidRPr="00BD3B15" w:rsidRDefault="0016470A"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Загальні положення</w:t>
      </w:r>
    </w:p>
    <w:p w14:paraId="4606042E" w14:textId="6A0E4758" w:rsidR="00E97D08" w:rsidRPr="008F25EC" w:rsidRDefault="00903F13"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sz w:val="28"/>
          <w:szCs w:val="28"/>
          <w:lang w:val="uk-UA"/>
        </w:rPr>
      </w:pPr>
      <w:r w:rsidRPr="008F25EC">
        <w:rPr>
          <w:rFonts w:ascii="Times New Roman" w:hAnsi="Times New Roman" w:cs="Times New Roman"/>
          <w:sz w:val="28"/>
          <w:szCs w:val="28"/>
          <w:lang w:val="uk-UA"/>
        </w:rPr>
        <w:t xml:space="preserve">Ця </w:t>
      </w:r>
      <w:r w:rsidR="00EC58DD" w:rsidRPr="008F25EC">
        <w:rPr>
          <w:rFonts w:ascii="Times New Roman" w:hAnsi="Times New Roman" w:cs="Times New Roman"/>
          <w:color w:val="000000"/>
          <w:sz w:val="28"/>
          <w:szCs w:val="28"/>
          <w:shd w:val="clear" w:color="auto" w:fill="FFFFFF"/>
          <w:lang w:val="uk-UA"/>
        </w:rPr>
        <w:t xml:space="preserve">Методика розроблена з метою забезпечення здійснення державного нагляду (контролю) </w:t>
      </w:r>
      <w:r w:rsidR="00A608CB" w:rsidRPr="008F25EC">
        <w:rPr>
          <w:rFonts w:ascii="Times New Roman" w:hAnsi="Times New Roman" w:cs="Times New Roman"/>
          <w:color w:val="000000"/>
          <w:sz w:val="28"/>
          <w:szCs w:val="28"/>
          <w:shd w:val="clear" w:color="auto" w:fill="FFFFFF"/>
          <w:lang w:val="uk-UA"/>
        </w:rPr>
        <w:t xml:space="preserve">на основі </w:t>
      </w:r>
      <w:r w:rsidR="00EC58DD" w:rsidRPr="008F25EC">
        <w:rPr>
          <w:rFonts w:ascii="Times New Roman" w:hAnsi="Times New Roman" w:cs="Times New Roman"/>
          <w:color w:val="000000"/>
          <w:sz w:val="28"/>
          <w:szCs w:val="28"/>
          <w:shd w:val="clear" w:color="auto" w:fill="FFFFFF"/>
          <w:lang w:val="uk-UA"/>
        </w:rPr>
        <w:t xml:space="preserve">оцінки ризиків та </w:t>
      </w:r>
      <w:r w:rsidR="00A608CB" w:rsidRPr="008F25EC">
        <w:rPr>
          <w:rFonts w:ascii="Times New Roman" w:hAnsi="Times New Roman" w:cs="Times New Roman"/>
          <w:color w:val="000000"/>
          <w:sz w:val="28"/>
          <w:szCs w:val="28"/>
          <w:shd w:val="clear" w:color="auto" w:fill="FFFFFF"/>
          <w:lang w:val="uk-UA"/>
        </w:rPr>
        <w:t xml:space="preserve">відповідно до принципу </w:t>
      </w:r>
      <w:r w:rsidR="00EC58DD" w:rsidRPr="008F25EC">
        <w:rPr>
          <w:rFonts w:ascii="Times New Roman" w:hAnsi="Times New Roman" w:cs="Times New Roman"/>
          <w:color w:val="000000"/>
          <w:sz w:val="28"/>
          <w:szCs w:val="28"/>
          <w:shd w:val="clear" w:color="auto" w:fill="FFFFFF"/>
          <w:lang w:val="uk-UA"/>
        </w:rPr>
        <w:t>доцільності шляхом встановлення єдиного підходу до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(далі – критерії).</w:t>
      </w:r>
    </w:p>
    <w:p w14:paraId="6FDB3B2A" w14:textId="1D9FCC72" w:rsidR="00E97D08" w:rsidRPr="008F25EC" w:rsidRDefault="00E74ADB"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У цій Методиці терміни вживаються у значенні, наведеному в Законі України “Про основні засади державного нагляду (контролю) у сфері господарської діяльності” (далі – Закон).</w:t>
      </w:r>
    </w:p>
    <w:p w14:paraId="4879AE06" w14:textId="5333946F" w:rsidR="00E97D08" w:rsidRPr="008F25EC" w:rsidRDefault="00E74ADB"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Критерії повинні бути розроблені відповідно до Закону та з урахуванням положень відповідних законів, міжнародних договорів, згода на обов’язковість яких надана Верховною Радою України</w:t>
      </w:r>
      <w:r w:rsidR="00442D5A" w:rsidRPr="008F25EC">
        <w:rPr>
          <w:rFonts w:ascii="Times New Roman" w:hAnsi="Times New Roman" w:cs="Times New Roman"/>
          <w:color w:val="000000"/>
          <w:sz w:val="28"/>
          <w:szCs w:val="28"/>
          <w:shd w:val="clear" w:color="auto" w:fill="FFFFFF"/>
          <w:lang w:val="uk-UA"/>
        </w:rPr>
        <w:t xml:space="preserve">, зокрема з урахуванням пункту </w:t>
      </w:r>
      <w:r w:rsidR="00442D5A" w:rsidRPr="008F25EC">
        <w:rPr>
          <w:rFonts w:ascii="Times New Roman" w:hAnsi="Times New Roman" w:cs="Times New Roman"/>
          <w:color w:val="000000"/>
          <w:sz w:val="28"/>
          <w:szCs w:val="28"/>
          <w:shd w:val="clear" w:color="auto" w:fill="FFFFFF"/>
          <w:lang w:val="uk-UA"/>
        </w:rPr>
        <w:fldChar w:fldCharType="begin"/>
      </w:r>
      <w:r w:rsidR="00442D5A" w:rsidRPr="008F25EC">
        <w:rPr>
          <w:rFonts w:ascii="Times New Roman" w:hAnsi="Times New Roman" w:cs="Times New Roman"/>
          <w:color w:val="000000"/>
          <w:sz w:val="28"/>
          <w:szCs w:val="28"/>
          <w:shd w:val="clear" w:color="auto" w:fill="FFFFFF"/>
          <w:lang w:val="uk-UA"/>
        </w:rPr>
        <w:instrText xml:space="preserve"> REF _Ref475982499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442D5A" w:rsidRPr="008F25EC">
        <w:rPr>
          <w:rFonts w:ascii="Times New Roman" w:hAnsi="Times New Roman" w:cs="Times New Roman"/>
          <w:color w:val="000000"/>
          <w:sz w:val="28"/>
          <w:szCs w:val="28"/>
          <w:shd w:val="clear" w:color="auto" w:fill="FFFFFF"/>
          <w:lang w:val="uk-UA"/>
        </w:rPr>
      </w:r>
      <w:r w:rsidR="00442D5A"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52</w:t>
      </w:r>
      <w:r w:rsidR="00442D5A" w:rsidRPr="008F25EC">
        <w:rPr>
          <w:rFonts w:ascii="Times New Roman" w:hAnsi="Times New Roman" w:cs="Times New Roman"/>
          <w:color w:val="000000"/>
          <w:sz w:val="28"/>
          <w:szCs w:val="28"/>
          <w:shd w:val="clear" w:color="auto" w:fill="FFFFFF"/>
          <w:lang w:val="uk-UA"/>
        </w:rPr>
        <w:fldChar w:fldCharType="end"/>
      </w:r>
      <w:r w:rsidR="00D95234" w:rsidRPr="008F25EC">
        <w:rPr>
          <w:rFonts w:ascii="Times New Roman" w:hAnsi="Times New Roman" w:cs="Times New Roman"/>
          <w:color w:val="000000"/>
          <w:sz w:val="28"/>
          <w:szCs w:val="28"/>
          <w:shd w:val="clear" w:color="auto" w:fill="FFFFFF"/>
          <w:lang w:val="uk-UA"/>
        </w:rPr>
        <w:t xml:space="preserve"> ці</w:t>
      </w:r>
      <w:r w:rsidR="00E90C2F" w:rsidRPr="008F25EC">
        <w:rPr>
          <w:rFonts w:ascii="Times New Roman" w:hAnsi="Times New Roman" w:cs="Times New Roman"/>
          <w:color w:val="000000"/>
          <w:sz w:val="28"/>
          <w:szCs w:val="28"/>
          <w:shd w:val="clear" w:color="auto" w:fill="FFFFFF"/>
          <w:lang w:val="uk-UA"/>
        </w:rPr>
        <w:t>єї Методики,</w:t>
      </w:r>
      <w:r w:rsidRPr="008F25EC">
        <w:rPr>
          <w:rFonts w:ascii="Times New Roman" w:hAnsi="Times New Roman" w:cs="Times New Roman"/>
          <w:color w:val="000000"/>
          <w:sz w:val="28"/>
          <w:szCs w:val="28"/>
          <w:shd w:val="clear" w:color="auto" w:fill="FFFFFF"/>
          <w:lang w:val="uk-UA"/>
        </w:rPr>
        <w:t xml:space="preserve"> та затверджують</w:t>
      </w:r>
      <w:r w:rsidR="00981AAC" w:rsidRPr="008F25EC">
        <w:rPr>
          <w:rFonts w:ascii="Times New Roman" w:hAnsi="Times New Roman" w:cs="Times New Roman"/>
          <w:color w:val="000000"/>
          <w:sz w:val="28"/>
          <w:szCs w:val="28"/>
          <w:shd w:val="clear" w:color="auto" w:fill="FFFFFF"/>
          <w:lang w:val="uk-UA"/>
        </w:rPr>
        <w:t>ся Кабінетом Міністрів України.</w:t>
      </w:r>
    </w:p>
    <w:p w14:paraId="7F15E814" w14:textId="2CD9D00E" w:rsidR="00E97D08" w:rsidRPr="008F25EC" w:rsidRDefault="00E74ADB"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Метою розробки критеріїв є правильний розподіл суб’єктів</w:t>
      </w:r>
      <w:r w:rsidR="00981AAC" w:rsidRPr="008F25EC">
        <w:rPr>
          <w:rFonts w:ascii="Times New Roman" w:hAnsi="Times New Roman" w:cs="Times New Roman"/>
          <w:color w:val="000000"/>
          <w:sz w:val="28"/>
          <w:szCs w:val="28"/>
          <w:shd w:val="clear" w:color="auto" w:fill="FFFFFF"/>
          <w:lang w:val="uk-UA"/>
        </w:rPr>
        <w:t xml:space="preserve"> господарювання, діяльність яких підлягає державному нагляду (</w:t>
      </w:r>
      <w:r w:rsidRPr="008F25EC">
        <w:rPr>
          <w:rFonts w:ascii="Times New Roman" w:hAnsi="Times New Roman" w:cs="Times New Roman"/>
          <w:color w:val="000000"/>
          <w:sz w:val="28"/>
          <w:szCs w:val="28"/>
          <w:shd w:val="clear" w:color="auto" w:fill="FFFFFF"/>
          <w:lang w:val="uk-UA"/>
        </w:rPr>
        <w:t>контролю</w:t>
      </w:r>
      <w:r w:rsidR="00981AAC" w:rsidRPr="008F25EC">
        <w:rPr>
          <w:rFonts w:ascii="Times New Roman" w:hAnsi="Times New Roman" w:cs="Times New Roman"/>
          <w:color w:val="000000"/>
          <w:sz w:val="28"/>
          <w:szCs w:val="28"/>
          <w:shd w:val="clear" w:color="auto" w:fill="FFFFFF"/>
          <w:lang w:val="uk-UA"/>
        </w:rPr>
        <w:t>)</w:t>
      </w:r>
      <w:r w:rsidR="00E474CC" w:rsidRPr="008F25EC">
        <w:rPr>
          <w:rFonts w:ascii="Times New Roman" w:hAnsi="Times New Roman" w:cs="Times New Roman"/>
          <w:color w:val="000000"/>
          <w:sz w:val="28"/>
          <w:szCs w:val="28"/>
          <w:shd w:val="clear" w:color="auto" w:fill="FFFFFF"/>
          <w:lang w:val="uk-UA"/>
        </w:rPr>
        <w:t xml:space="preserve">, за ступенями </w:t>
      </w:r>
      <w:r w:rsidRPr="008F25EC">
        <w:rPr>
          <w:rFonts w:ascii="Times New Roman" w:hAnsi="Times New Roman" w:cs="Times New Roman"/>
          <w:color w:val="000000"/>
          <w:sz w:val="28"/>
          <w:szCs w:val="28"/>
          <w:shd w:val="clear" w:color="auto" w:fill="FFFFFF"/>
          <w:lang w:val="uk-UA"/>
        </w:rPr>
        <w:t>ризику. Своєю чергою, належний розп</w:t>
      </w:r>
      <w:r w:rsidR="00E474CC" w:rsidRPr="008F25EC">
        <w:rPr>
          <w:rFonts w:ascii="Times New Roman" w:hAnsi="Times New Roman" w:cs="Times New Roman"/>
          <w:color w:val="000000"/>
          <w:sz w:val="28"/>
          <w:szCs w:val="28"/>
          <w:shd w:val="clear" w:color="auto" w:fill="FFFFFF"/>
          <w:lang w:val="uk-UA"/>
        </w:rPr>
        <w:t>оділ на ступені</w:t>
      </w:r>
      <w:r w:rsidR="00981AAC" w:rsidRPr="008F25EC">
        <w:rPr>
          <w:rFonts w:ascii="Times New Roman" w:hAnsi="Times New Roman" w:cs="Times New Roman"/>
          <w:color w:val="000000"/>
          <w:sz w:val="28"/>
          <w:szCs w:val="28"/>
          <w:shd w:val="clear" w:color="auto" w:fill="FFFFFF"/>
          <w:lang w:val="uk-UA"/>
        </w:rPr>
        <w:t xml:space="preserve"> ризику </w:t>
      </w:r>
      <w:r w:rsidR="00CB3D6E" w:rsidRPr="008F25EC">
        <w:rPr>
          <w:rFonts w:ascii="Times New Roman" w:hAnsi="Times New Roman" w:cs="Times New Roman"/>
          <w:color w:val="000000"/>
          <w:sz w:val="28"/>
          <w:szCs w:val="28"/>
          <w:shd w:val="clear" w:color="auto" w:fill="FFFFFF"/>
          <w:lang w:val="uk-UA"/>
        </w:rPr>
        <w:t xml:space="preserve">забезпечить </w:t>
      </w:r>
      <w:r w:rsidRPr="008F25EC">
        <w:rPr>
          <w:rFonts w:ascii="Times New Roman" w:hAnsi="Times New Roman" w:cs="Times New Roman"/>
          <w:color w:val="000000"/>
          <w:sz w:val="28"/>
          <w:szCs w:val="28"/>
          <w:shd w:val="clear" w:color="auto" w:fill="FFFFFF"/>
          <w:lang w:val="uk-UA"/>
        </w:rPr>
        <w:t>раціональне використання ресурсів органів державного нагляду (контролю) шляхом встановлення періодичності проведення планових заходів зі здійснення державного нагляду (контролю), а також знизить рівень втручання органу державного нагляду (контролю) в діяльність суб’єктів господарювання.</w:t>
      </w:r>
    </w:p>
    <w:p w14:paraId="0675478C" w14:textId="5B7AE2A6" w:rsidR="00E97D08" w:rsidRPr="008F25EC" w:rsidRDefault="00E74ADB"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Орган державного нагляду (контролю) визначає у віднесеній до його відання сфері критерії, за якими оцінюється ступінь ризику від провад</w:t>
      </w:r>
      <w:r w:rsidR="00981AAC" w:rsidRPr="008F25EC">
        <w:rPr>
          <w:rFonts w:ascii="Times New Roman" w:hAnsi="Times New Roman" w:cs="Times New Roman"/>
          <w:color w:val="000000"/>
          <w:sz w:val="28"/>
          <w:szCs w:val="28"/>
          <w:shd w:val="clear" w:color="auto" w:fill="FFFFFF"/>
          <w:lang w:val="uk-UA"/>
        </w:rPr>
        <w:t>ження господарської діяльності.</w:t>
      </w:r>
    </w:p>
    <w:p w14:paraId="5C467823" w14:textId="3F9534A0" w:rsidR="00E97D08" w:rsidRPr="008F25EC" w:rsidRDefault="00CD1CB2"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У разі якщо органами, уповноваженими здійснювати державний нагляд (контроль), є місцеві державні адміністрації та/або органи місцевого самоврядування, то у відповідних сферах критерії розробляються центральними органами виконавчої влади та/або державними колегіальними органами, що забезпечують формування державної політики у відповідних сферах.</w:t>
      </w:r>
    </w:p>
    <w:p w14:paraId="167BABFC" w14:textId="4EA20E13" w:rsidR="00E97D08" w:rsidRPr="008F25EC" w:rsidRDefault="009B285A"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Розроблений проект критеріїв підлягає погодженню з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порядку, із наданням інформації щодо відсоткового наповнення кожного з трьох ступенів ризику.</w:t>
      </w:r>
    </w:p>
    <w:p w14:paraId="2181B126" w14:textId="182C6F14" w:rsidR="00E97D08" w:rsidRPr="008F25EC" w:rsidRDefault="008F53B1"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До проекту критеріїв додається інформація про кількість суб’єктів господарювання, що підлягають державному нагляду (контролю), у відсотках щодо кожного з трьох ступенів ризику (високого, середнього, незначного)</w:t>
      </w:r>
    </w:p>
    <w:p w14:paraId="0775C70A" w14:textId="5E025CFD" w:rsidR="00E97D08" w:rsidRPr="008F25EC" w:rsidRDefault="00E74ADB"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Критерії, за якими оцінюється ступінь ризику</w:t>
      </w:r>
      <w:r w:rsidR="00466FB4" w:rsidRPr="008F25EC">
        <w:rPr>
          <w:rFonts w:ascii="Times New Roman" w:hAnsi="Times New Roman" w:cs="Times New Roman"/>
          <w:color w:val="000000"/>
          <w:sz w:val="28"/>
          <w:szCs w:val="28"/>
          <w:shd w:val="clear" w:color="auto" w:fill="FFFFFF"/>
          <w:lang w:val="uk-UA"/>
        </w:rPr>
        <w:t xml:space="preserve"> від провадження господарської </w:t>
      </w:r>
      <w:r w:rsidRPr="008F25EC">
        <w:rPr>
          <w:rFonts w:ascii="Times New Roman" w:hAnsi="Times New Roman" w:cs="Times New Roman"/>
          <w:color w:val="000000"/>
          <w:sz w:val="28"/>
          <w:szCs w:val="28"/>
          <w:shd w:val="clear" w:color="auto" w:fill="FFFFFF"/>
          <w:lang w:val="uk-UA"/>
        </w:rPr>
        <w:t>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14:paraId="37C67BC7" w14:textId="37AEA649" w:rsidR="00E97D08" w:rsidRPr="008F25EC" w:rsidRDefault="00E74ADB" w:rsidP="008F25EC">
      <w:pPr>
        <w:pStyle w:val="a3"/>
        <w:numPr>
          <w:ilvl w:val="0"/>
          <w:numId w:val="1"/>
        </w:numPr>
        <w:tabs>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Критерії не повинні містити положення щодо дублювання повноважень органів державного нагляду (контролю). Зокрема, критерії не повинні п</w:t>
      </w:r>
      <w:r w:rsidR="00B10C78" w:rsidRPr="008F25EC">
        <w:rPr>
          <w:rFonts w:ascii="Times New Roman" w:hAnsi="Times New Roman" w:cs="Times New Roman"/>
          <w:color w:val="000000"/>
          <w:sz w:val="28"/>
          <w:szCs w:val="28"/>
          <w:shd w:val="clear" w:color="auto" w:fill="FFFFFF"/>
          <w:lang w:val="uk-UA"/>
        </w:rPr>
        <w:t>риводити до перевірки тих самих</w:t>
      </w:r>
      <w:r w:rsidR="004D0261" w:rsidRPr="008F25EC">
        <w:rPr>
          <w:rFonts w:ascii="Times New Roman" w:hAnsi="Times New Roman" w:cs="Times New Roman"/>
          <w:i/>
          <w:color w:val="000000"/>
          <w:sz w:val="28"/>
          <w:szCs w:val="28"/>
          <w:shd w:val="clear" w:color="auto" w:fill="FFFFFF"/>
          <w:lang w:val="uk-UA"/>
        </w:rPr>
        <w:t xml:space="preserve"> </w:t>
      </w:r>
      <w:r w:rsidR="00B10C78" w:rsidRPr="008F25EC">
        <w:rPr>
          <w:rFonts w:ascii="Times New Roman" w:hAnsi="Times New Roman" w:cs="Times New Roman"/>
          <w:i/>
          <w:color w:val="000000"/>
          <w:sz w:val="28"/>
          <w:szCs w:val="28"/>
          <w:shd w:val="clear" w:color="auto" w:fill="FFFFFF"/>
          <w:lang w:val="uk-UA"/>
        </w:rPr>
        <w:t xml:space="preserve">аспектів </w:t>
      </w:r>
      <w:r w:rsidR="004D0261" w:rsidRPr="008F25EC">
        <w:rPr>
          <w:rFonts w:ascii="Times New Roman" w:hAnsi="Times New Roman" w:cs="Times New Roman"/>
          <w:i/>
          <w:color w:val="000000"/>
          <w:sz w:val="28"/>
          <w:szCs w:val="28"/>
          <w:shd w:val="clear" w:color="auto" w:fill="FFFFFF"/>
          <w:lang w:val="uk-UA"/>
        </w:rPr>
        <w:t>ризику</w:t>
      </w:r>
      <w:r w:rsidR="004D0261" w:rsidRPr="008F25EC">
        <w:rPr>
          <w:rFonts w:ascii="Times New Roman" w:hAnsi="Times New Roman" w:cs="Times New Roman"/>
          <w:color w:val="000000"/>
          <w:sz w:val="28"/>
          <w:szCs w:val="28"/>
          <w:shd w:val="clear" w:color="auto" w:fill="FFFFFF"/>
          <w:lang w:val="uk-UA"/>
        </w:rPr>
        <w:t xml:space="preserve"> </w:t>
      </w:r>
      <w:r w:rsidRPr="008F25EC">
        <w:rPr>
          <w:rFonts w:ascii="Times New Roman" w:hAnsi="Times New Roman" w:cs="Times New Roman"/>
          <w:color w:val="000000"/>
          <w:sz w:val="28"/>
          <w:szCs w:val="28"/>
          <w:shd w:val="clear" w:color="auto" w:fill="FFFFFF"/>
          <w:lang w:val="uk-UA"/>
        </w:rPr>
        <w:t>різними органами державного нагляду (контролю).</w:t>
      </w:r>
    </w:p>
    <w:p w14:paraId="54874DB8" w14:textId="7AD430D6"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При розробці або перегляді критеріїв органи державного нагляду (контролю) обов’язково враховують позицію суб’єктів господарювання, що підлягають </w:t>
      </w:r>
      <w:r w:rsidR="00E2657B" w:rsidRPr="008F25EC">
        <w:rPr>
          <w:rFonts w:ascii="Times New Roman" w:hAnsi="Times New Roman" w:cs="Times New Roman"/>
          <w:color w:val="000000"/>
          <w:sz w:val="28"/>
          <w:szCs w:val="28"/>
          <w:shd w:val="clear" w:color="auto" w:fill="FFFFFF"/>
          <w:lang w:val="uk-UA"/>
        </w:rPr>
        <w:t xml:space="preserve">державному </w:t>
      </w:r>
      <w:r w:rsidRPr="008F25EC">
        <w:rPr>
          <w:rFonts w:ascii="Times New Roman" w:hAnsi="Times New Roman" w:cs="Times New Roman"/>
          <w:color w:val="000000"/>
          <w:sz w:val="28"/>
          <w:szCs w:val="28"/>
          <w:shd w:val="clear" w:color="auto" w:fill="FFFFFF"/>
          <w:lang w:val="uk-UA"/>
        </w:rPr>
        <w:t>нагляду</w:t>
      </w:r>
      <w:r w:rsidR="00E2657B" w:rsidRPr="008F25EC">
        <w:rPr>
          <w:rFonts w:ascii="Times New Roman" w:hAnsi="Times New Roman" w:cs="Times New Roman"/>
          <w:color w:val="000000"/>
          <w:sz w:val="28"/>
          <w:szCs w:val="28"/>
          <w:shd w:val="clear" w:color="auto" w:fill="FFFFFF"/>
          <w:lang w:val="uk-UA"/>
        </w:rPr>
        <w:t xml:space="preserve"> (контролю</w:t>
      </w:r>
      <w:r w:rsidRPr="008F25EC">
        <w:rPr>
          <w:rFonts w:ascii="Times New Roman" w:hAnsi="Times New Roman" w:cs="Times New Roman"/>
          <w:color w:val="000000"/>
          <w:sz w:val="28"/>
          <w:szCs w:val="28"/>
          <w:shd w:val="clear" w:color="auto" w:fill="FFFFFF"/>
          <w:lang w:val="uk-UA"/>
        </w:rPr>
        <w:t>)</w:t>
      </w:r>
      <w:r w:rsidR="00A50FDE" w:rsidRPr="008F25EC">
        <w:rPr>
          <w:rFonts w:ascii="Times New Roman" w:hAnsi="Times New Roman" w:cs="Times New Roman"/>
          <w:color w:val="000000"/>
          <w:sz w:val="28"/>
          <w:szCs w:val="28"/>
          <w:shd w:val="clear" w:color="auto" w:fill="FFFFFF"/>
          <w:lang w:val="uk-UA"/>
        </w:rPr>
        <w:t>,</w:t>
      </w:r>
      <w:r w:rsidRPr="008F25EC">
        <w:rPr>
          <w:rFonts w:ascii="Times New Roman" w:hAnsi="Times New Roman" w:cs="Times New Roman"/>
          <w:color w:val="000000"/>
          <w:sz w:val="28"/>
          <w:szCs w:val="28"/>
          <w:shd w:val="clear" w:color="auto" w:fill="FFFFFF"/>
          <w:lang w:val="uk-UA"/>
        </w:rPr>
        <w:t xml:space="preserve"> шляхом проведення консультацій.</w:t>
      </w:r>
    </w:p>
    <w:p w14:paraId="65BD702C" w14:textId="115F86D7"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Орган державного нагляду </w:t>
      </w:r>
      <w:r w:rsidR="001A2D06" w:rsidRPr="008F25EC">
        <w:rPr>
          <w:rFonts w:ascii="Times New Roman" w:hAnsi="Times New Roman" w:cs="Times New Roman"/>
          <w:color w:val="000000"/>
          <w:sz w:val="28"/>
          <w:szCs w:val="28"/>
          <w:shd w:val="clear" w:color="auto" w:fill="FFFFFF"/>
          <w:lang w:val="uk-UA"/>
        </w:rPr>
        <w:t xml:space="preserve">(контролю) оприлюднює критерії </w:t>
      </w:r>
      <w:r w:rsidRPr="008F25EC">
        <w:rPr>
          <w:rFonts w:ascii="Times New Roman" w:hAnsi="Times New Roman" w:cs="Times New Roman"/>
          <w:color w:val="000000"/>
          <w:sz w:val="28"/>
          <w:szCs w:val="28"/>
          <w:shd w:val="clear" w:color="auto" w:fill="FFFFFF"/>
          <w:lang w:val="uk-UA"/>
        </w:rPr>
        <w:t>та періодичність проведення планових заходів із здійснення державного нагляду (контролю) шляхом розміщення інформації в окремому розділі на своєму офіційному веб-сайті.</w:t>
      </w:r>
    </w:p>
    <w:p w14:paraId="2F852A24" w14:textId="48DA5F96" w:rsidR="00E97D08" w:rsidRPr="008F25EC" w:rsidRDefault="00E74ADB"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Орган державного нагляду (контролю) забезпечує публічний доступ до роз’яснень щодо </w:t>
      </w:r>
      <w:r w:rsidR="00A608CB" w:rsidRPr="008F25EC">
        <w:rPr>
          <w:rFonts w:ascii="Times New Roman" w:hAnsi="Times New Roman" w:cs="Times New Roman"/>
          <w:color w:val="000000"/>
          <w:sz w:val="28"/>
          <w:szCs w:val="28"/>
          <w:shd w:val="clear" w:color="auto" w:fill="FFFFFF"/>
          <w:lang w:val="uk-UA"/>
        </w:rPr>
        <w:t xml:space="preserve">обраних </w:t>
      </w:r>
      <w:r w:rsidRPr="008F25EC">
        <w:rPr>
          <w:rFonts w:ascii="Times New Roman" w:hAnsi="Times New Roman" w:cs="Times New Roman"/>
          <w:color w:val="000000"/>
          <w:sz w:val="28"/>
          <w:szCs w:val="28"/>
          <w:shd w:val="clear" w:color="auto" w:fill="FFFFFF"/>
          <w:lang w:val="uk-UA"/>
        </w:rPr>
        <w:t xml:space="preserve">критеріїв та їх застосування, а також надавати суб’єктам господарювання, що </w:t>
      </w:r>
      <w:r w:rsidR="001A2D06" w:rsidRPr="008F25EC">
        <w:rPr>
          <w:rFonts w:ascii="Times New Roman" w:hAnsi="Times New Roman" w:cs="Times New Roman"/>
          <w:color w:val="000000"/>
          <w:sz w:val="28"/>
          <w:szCs w:val="28"/>
          <w:shd w:val="clear" w:color="auto" w:fill="FFFFFF"/>
          <w:lang w:val="uk-UA"/>
        </w:rPr>
        <w:t>хочуть знизити ступінь</w:t>
      </w:r>
      <w:r w:rsidRPr="008F25EC">
        <w:rPr>
          <w:rFonts w:ascii="Times New Roman" w:hAnsi="Times New Roman" w:cs="Times New Roman"/>
          <w:color w:val="000000"/>
          <w:sz w:val="28"/>
          <w:szCs w:val="28"/>
          <w:shd w:val="clear" w:color="auto" w:fill="FFFFFF"/>
          <w:lang w:val="uk-UA"/>
        </w:rPr>
        <w:t xml:space="preserve"> ризику,</w:t>
      </w:r>
      <w:r w:rsidR="00A608CB" w:rsidRPr="008F25EC">
        <w:rPr>
          <w:rFonts w:ascii="Times New Roman" w:hAnsi="Times New Roman" w:cs="Times New Roman"/>
          <w:color w:val="000000"/>
          <w:sz w:val="28"/>
          <w:szCs w:val="28"/>
          <w:shd w:val="clear" w:color="auto" w:fill="FFFFFF"/>
          <w:lang w:val="uk-UA"/>
        </w:rPr>
        <w:t xml:space="preserve"> методологічну допомогу</w:t>
      </w:r>
      <w:r w:rsidRPr="008F25EC">
        <w:rPr>
          <w:rFonts w:ascii="Times New Roman" w:hAnsi="Times New Roman" w:cs="Times New Roman"/>
          <w:color w:val="000000"/>
          <w:sz w:val="28"/>
          <w:szCs w:val="28"/>
          <w:shd w:val="clear" w:color="auto" w:fill="FFFFFF"/>
          <w:lang w:val="uk-UA"/>
        </w:rPr>
        <w:t>.</w:t>
      </w:r>
    </w:p>
    <w:p w14:paraId="22AE7EF9" w14:textId="01C80C03"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Відповідальність за неякісне та несвоєчасне впровадження критеріїв покладається </w:t>
      </w:r>
      <w:r w:rsidR="00CE2A50" w:rsidRPr="008F25EC">
        <w:rPr>
          <w:rFonts w:ascii="Times New Roman" w:hAnsi="Times New Roman" w:cs="Times New Roman"/>
          <w:color w:val="000000"/>
          <w:sz w:val="28"/>
          <w:szCs w:val="28"/>
          <w:shd w:val="clear" w:color="auto" w:fill="FFFFFF"/>
          <w:lang w:val="uk-UA"/>
        </w:rPr>
        <w:t xml:space="preserve">на </w:t>
      </w:r>
      <w:r w:rsidRPr="008F25EC">
        <w:rPr>
          <w:rFonts w:ascii="Times New Roman" w:hAnsi="Times New Roman" w:cs="Times New Roman"/>
          <w:color w:val="000000"/>
          <w:sz w:val="28"/>
          <w:szCs w:val="28"/>
          <w:shd w:val="clear" w:color="auto" w:fill="FFFFFF"/>
          <w:lang w:val="uk-UA"/>
        </w:rPr>
        <w:t>посадових осіб</w:t>
      </w:r>
      <w:r w:rsidR="00CE2A50" w:rsidRPr="008F25EC">
        <w:rPr>
          <w:rFonts w:ascii="Times New Roman" w:hAnsi="Times New Roman" w:cs="Times New Roman"/>
          <w:color w:val="000000"/>
          <w:sz w:val="28"/>
          <w:szCs w:val="28"/>
          <w:shd w:val="clear" w:color="auto" w:fill="FFFFFF"/>
          <w:lang w:val="uk-UA"/>
        </w:rPr>
        <w:t xml:space="preserve"> органу державного нагляду (контролю)</w:t>
      </w:r>
      <w:r w:rsidRPr="008F25EC">
        <w:rPr>
          <w:rFonts w:ascii="Times New Roman" w:hAnsi="Times New Roman" w:cs="Times New Roman"/>
          <w:color w:val="000000"/>
          <w:sz w:val="28"/>
          <w:szCs w:val="28"/>
          <w:shd w:val="clear" w:color="auto" w:fill="FFFFFF"/>
          <w:lang w:val="uk-UA"/>
        </w:rPr>
        <w:t>.</w:t>
      </w:r>
    </w:p>
    <w:p w14:paraId="1B49CC68" w14:textId="6DA8C447"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Орган державного нагляду (контролю) повинен врахувати, що критерії є кількісними та якісними</w:t>
      </w:r>
      <w:r w:rsidR="00B10C78" w:rsidRPr="008F25EC">
        <w:rPr>
          <w:rFonts w:ascii="Times New Roman" w:hAnsi="Times New Roman" w:cs="Times New Roman"/>
          <w:color w:val="000000"/>
          <w:sz w:val="28"/>
          <w:szCs w:val="28"/>
          <w:shd w:val="clear" w:color="auto" w:fill="FFFFFF"/>
          <w:lang w:val="uk-UA"/>
        </w:rPr>
        <w:t xml:space="preserve"> показниками</w:t>
      </w:r>
      <w:r w:rsidRPr="008F25EC">
        <w:rPr>
          <w:rFonts w:ascii="Times New Roman" w:hAnsi="Times New Roman" w:cs="Times New Roman"/>
          <w:color w:val="000000"/>
          <w:sz w:val="28"/>
          <w:szCs w:val="28"/>
          <w:shd w:val="clear" w:color="auto" w:fill="FFFFFF"/>
          <w:lang w:val="uk-UA"/>
        </w:rPr>
        <w:t xml:space="preserve">, що впливають на ступінь ризику. Таким чином, для правильного визначення критеріїв ризику, органу державного нагляду (контролю) </w:t>
      </w:r>
      <w:r w:rsidR="00F85F3D" w:rsidRPr="008F25EC">
        <w:rPr>
          <w:rFonts w:ascii="Times New Roman" w:hAnsi="Times New Roman" w:cs="Times New Roman"/>
          <w:color w:val="000000"/>
          <w:sz w:val="28"/>
          <w:szCs w:val="28"/>
          <w:shd w:val="clear" w:color="auto" w:fill="FFFFFF"/>
          <w:lang w:val="uk-UA"/>
        </w:rPr>
        <w:t>необхідно провести оцінку ризику</w:t>
      </w:r>
      <w:r w:rsidR="00FE2B5F" w:rsidRPr="008F25EC">
        <w:rPr>
          <w:rFonts w:ascii="Times New Roman" w:hAnsi="Times New Roman" w:cs="Times New Roman"/>
          <w:color w:val="000000"/>
          <w:sz w:val="28"/>
          <w:szCs w:val="28"/>
          <w:shd w:val="clear" w:color="auto" w:fill="FFFFFF"/>
          <w:lang w:val="uk-UA"/>
        </w:rPr>
        <w:t>.</w:t>
      </w:r>
    </w:p>
    <w:p w14:paraId="7933833A" w14:textId="77B1EF63"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При здійсненні оцінки ризику усі органи державного нагляду (контролю) повинні керуватися принципом багаторазового використання інформації, яку вони запитують або отримуют</w:t>
      </w:r>
      <w:r w:rsidR="00BD3B15">
        <w:rPr>
          <w:rFonts w:ascii="Times New Roman" w:hAnsi="Times New Roman" w:cs="Times New Roman"/>
          <w:color w:val="000000"/>
          <w:sz w:val="28"/>
          <w:szCs w:val="28"/>
          <w:shd w:val="clear" w:color="auto" w:fill="FFFFFF"/>
          <w:lang w:val="uk-UA"/>
        </w:rPr>
        <w:t>ь від суб’єктів господарювання.</w:t>
      </w:r>
    </w:p>
    <w:p w14:paraId="483E32EB" w14:textId="00DAF817"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Зокрема, органи державного нагляду (контролю) в максимально можливому обсягу, дозволеному чинним законодавством, повинні </w:t>
      </w:r>
      <w:r w:rsidR="00A608CB" w:rsidRPr="008F25EC">
        <w:rPr>
          <w:rFonts w:ascii="Times New Roman" w:hAnsi="Times New Roman" w:cs="Times New Roman"/>
          <w:color w:val="000000"/>
          <w:sz w:val="28"/>
          <w:szCs w:val="28"/>
          <w:shd w:val="clear" w:color="auto" w:fill="FFFFFF"/>
          <w:lang w:val="uk-UA"/>
        </w:rPr>
        <w:t>ділитися між собою зібраною</w:t>
      </w:r>
      <w:r w:rsidR="00B10C78" w:rsidRPr="008F25EC">
        <w:rPr>
          <w:rFonts w:ascii="Times New Roman" w:hAnsi="Times New Roman" w:cs="Times New Roman"/>
          <w:color w:val="000000"/>
          <w:sz w:val="28"/>
          <w:szCs w:val="28"/>
          <w:shd w:val="clear" w:color="auto" w:fill="FFFFFF"/>
          <w:lang w:val="uk-UA"/>
        </w:rPr>
        <w:t xml:space="preserve"> інформаці</w:t>
      </w:r>
      <w:r w:rsidRPr="008F25EC">
        <w:rPr>
          <w:rFonts w:ascii="Times New Roman" w:hAnsi="Times New Roman" w:cs="Times New Roman"/>
          <w:color w:val="000000"/>
          <w:sz w:val="28"/>
          <w:szCs w:val="28"/>
          <w:shd w:val="clear" w:color="auto" w:fill="FFFFFF"/>
          <w:lang w:val="uk-UA"/>
        </w:rPr>
        <w:t xml:space="preserve">ю про суб’єктів господарювання та виявлені </w:t>
      </w:r>
      <w:r w:rsidRPr="008F25EC">
        <w:rPr>
          <w:rFonts w:ascii="Times New Roman" w:hAnsi="Times New Roman" w:cs="Times New Roman"/>
          <w:color w:val="000000"/>
          <w:sz w:val="28"/>
          <w:szCs w:val="28"/>
          <w:shd w:val="clear" w:color="auto" w:fill="FFFFFF"/>
          <w:lang w:val="uk-UA"/>
        </w:rPr>
        <w:lastRenderedPageBreak/>
        <w:t xml:space="preserve">ризики в їх діяльності з метою уникнення запитування тієї ж самої інформації від суб’єктів господарювання. Для цього органи державного нагляду (контролю) повинні </w:t>
      </w:r>
      <w:r w:rsidR="00B10C78" w:rsidRPr="008F25EC">
        <w:rPr>
          <w:rFonts w:ascii="Times New Roman" w:hAnsi="Times New Roman" w:cs="Times New Roman"/>
          <w:color w:val="000000"/>
          <w:sz w:val="28"/>
          <w:szCs w:val="28"/>
          <w:shd w:val="clear" w:color="auto" w:fill="FFFFFF"/>
          <w:lang w:val="uk-UA"/>
        </w:rPr>
        <w:t xml:space="preserve">якнайширше </w:t>
      </w:r>
      <w:r w:rsidRPr="008F25EC">
        <w:rPr>
          <w:rFonts w:ascii="Times New Roman" w:hAnsi="Times New Roman" w:cs="Times New Roman"/>
          <w:color w:val="000000"/>
          <w:sz w:val="28"/>
          <w:szCs w:val="28"/>
          <w:shd w:val="clear" w:color="auto" w:fill="FFFFFF"/>
          <w:lang w:val="uk-UA"/>
        </w:rPr>
        <w:t>використовувати інтегровану автоматизовану систему державного нагляду.</w:t>
      </w:r>
    </w:p>
    <w:p w14:paraId="6B6C46AC" w14:textId="77777777" w:rsidR="008F25EC" w:rsidRPr="008F25EC" w:rsidRDefault="008F25EC" w:rsidP="008F25EC">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15343C1D" w14:textId="0AFDE8C1" w:rsidR="00E97D08" w:rsidRPr="008F25EC" w:rsidRDefault="00E74ADB"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Етапи оцінки ризику</w:t>
      </w:r>
    </w:p>
    <w:p w14:paraId="46E3B594" w14:textId="5A86E600" w:rsidR="00A337C4" w:rsidRPr="008F25EC" w:rsidRDefault="00FE2B5F"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Методологічна суть оцінки ризику на основі критеріїв полягає в тому, щоб</w:t>
      </w:r>
      <w:r w:rsidR="00CE242F" w:rsidRPr="008F25EC">
        <w:rPr>
          <w:rFonts w:ascii="Times New Roman" w:hAnsi="Times New Roman" w:cs="Times New Roman"/>
          <w:color w:val="000000"/>
          <w:sz w:val="28"/>
          <w:szCs w:val="28"/>
          <w:shd w:val="clear" w:color="auto" w:fill="FFFFFF"/>
          <w:lang w:val="uk-UA"/>
        </w:rPr>
        <w:t>:</w:t>
      </w:r>
    </w:p>
    <w:p w14:paraId="0FF2D6BE" w14:textId="63922183" w:rsidR="00E97D08" w:rsidRPr="008F25EC" w:rsidRDefault="00326D21"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ідентифікувати</w:t>
      </w:r>
      <w:r w:rsidR="00A337C4" w:rsidRPr="008F25EC">
        <w:rPr>
          <w:rFonts w:ascii="Times New Roman" w:hAnsi="Times New Roman" w:cs="Times New Roman"/>
          <w:color w:val="000000"/>
          <w:sz w:val="28"/>
          <w:szCs w:val="28"/>
          <w:shd w:val="clear" w:color="auto" w:fill="FFFFFF"/>
          <w:lang w:val="uk-UA"/>
        </w:rPr>
        <w:t xml:space="preserve"> ризик;</w:t>
      </w:r>
    </w:p>
    <w:p w14:paraId="7224DEF5" w14:textId="146794FF" w:rsidR="00E97D08" w:rsidRPr="008F25EC" w:rsidRDefault="00FE2B5F"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розподілити ризик за найбільш важливими критеріями, характерним для </w:t>
      </w:r>
      <w:r w:rsidR="00D8439B" w:rsidRPr="008F25EC">
        <w:rPr>
          <w:rFonts w:ascii="Times New Roman" w:hAnsi="Times New Roman" w:cs="Times New Roman"/>
          <w:color w:val="000000"/>
          <w:sz w:val="28"/>
          <w:szCs w:val="28"/>
          <w:shd w:val="clear" w:color="auto" w:fill="FFFFFF"/>
          <w:lang w:val="uk-UA"/>
        </w:rPr>
        <w:t>відповідної сфери нагляду (</w:t>
      </w:r>
      <w:r w:rsidR="00CE242F" w:rsidRPr="008F25EC">
        <w:rPr>
          <w:rFonts w:ascii="Times New Roman" w:hAnsi="Times New Roman" w:cs="Times New Roman"/>
          <w:color w:val="000000"/>
          <w:sz w:val="28"/>
          <w:szCs w:val="28"/>
          <w:shd w:val="clear" w:color="auto" w:fill="FFFFFF"/>
          <w:lang w:val="uk-UA"/>
        </w:rPr>
        <w:t>контролю</w:t>
      </w:r>
      <w:r w:rsidR="00D8439B" w:rsidRPr="008F25EC">
        <w:rPr>
          <w:rFonts w:ascii="Times New Roman" w:hAnsi="Times New Roman" w:cs="Times New Roman"/>
          <w:color w:val="000000"/>
          <w:sz w:val="28"/>
          <w:szCs w:val="28"/>
          <w:shd w:val="clear" w:color="auto" w:fill="FFFFFF"/>
          <w:lang w:val="uk-UA"/>
        </w:rPr>
        <w:t>)</w:t>
      </w:r>
      <w:r w:rsidR="008F25EC" w:rsidRPr="008F25EC">
        <w:rPr>
          <w:rFonts w:ascii="Times New Roman" w:hAnsi="Times New Roman" w:cs="Times New Roman"/>
          <w:color w:val="000000"/>
          <w:sz w:val="28"/>
          <w:szCs w:val="28"/>
          <w:shd w:val="clear" w:color="auto" w:fill="FFFFFF"/>
          <w:lang w:val="uk-UA"/>
        </w:rPr>
        <w:t>;</w:t>
      </w:r>
    </w:p>
    <w:p w14:paraId="0B8A5617" w14:textId="6D28EEA2" w:rsidR="00E97D08" w:rsidRPr="008F25EC" w:rsidRDefault="00F149CC"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встановити</w:t>
      </w:r>
      <w:r w:rsidR="00A608CB" w:rsidRPr="008F25EC">
        <w:rPr>
          <w:rFonts w:ascii="Times New Roman" w:hAnsi="Times New Roman" w:cs="Times New Roman"/>
          <w:color w:val="000000"/>
          <w:sz w:val="28"/>
          <w:szCs w:val="28"/>
          <w:shd w:val="clear" w:color="auto" w:fill="FFFFFF"/>
          <w:lang w:val="uk-UA"/>
        </w:rPr>
        <w:t xml:space="preserve"> вагомість</w:t>
      </w:r>
      <w:r w:rsidR="00B824B7" w:rsidRPr="008F25EC">
        <w:rPr>
          <w:rFonts w:ascii="Times New Roman" w:hAnsi="Times New Roman" w:cs="Times New Roman"/>
          <w:color w:val="000000"/>
          <w:sz w:val="28"/>
          <w:szCs w:val="28"/>
          <w:shd w:val="clear" w:color="auto" w:fill="FFFFFF"/>
          <w:lang w:val="uk-UA"/>
        </w:rPr>
        <w:t xml:space="preserve"> кожного критерію для вказаного ризику</w:t>
      </w:r>
      <w:r w:rsidRPr="008F25EC">
        <w:rPr>
          <w:rFonts w:ascii="Times New Roman" w:hAnsi="Times New Roman" w:cs="Times New Roman"/>
          <w:color w:val="000000"/>
          <w:sz w:val="28"/>
          <w:szCs w:val="28"/>
          <w:shd w:val="clear" w:color="auto" w:fill="FFFFFF"/>
          <w:lang w:val="uk-UA"/>
        </w:rPr>
        <w:t>;</w:t>
      </w:r>
    </w:p>
    <w:p w14:paraId="55157836" w14:textId="7BA11A6C" w:rsidR="00E97D08" w:rsidRPr="008F25EC" w:rsidRDefault="00653433"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розрахувати</w:t>
      </w:r>
      <w:r w:rsidR="00A608CB" w:rsidRPr="008F25EC">
        <w:rPr>
          <w:rFonts w:ascii="Times New Roman" w:hAnsi="Times New Roman" w:cs="Times New Roman"/>
          <w:color w:val="000000"/>
          <w:sz w:val="28"/>
          <w:szCs w:val="28"/>
          <w:shd w:val="clear" w:color="auto" w:fill="FFFFFF"/>
          <w:lang w:val="uk-UA"/>
        </w:rPr>
        <w:t xml:space="preserve"> середньозважений ступінь ризику кожного суб’єкта господарювання</w:t>
      </w:r>
      <w:r w:rsidR="0027706C" w:rsidRPr="008F25EC">
        <w:rPr>
          <w:rFonts w:ascii="Times New Roman" w:hAnsi="Times New Roman" w:cs="Times New Roman"/>
          <w:color w:val="000000"/>
          <w:sz w:val="28"/>
          <w:szCs w:val="28"/>
          <w:shd w:val="clear" w:color="auto" w:fill="FFFFFF"/>
          <w:lang w:val="uk-UA"/>
        </w:rPr>
        <w:t>;</w:t>
      </w:r>
    </w:p>
    <w:p w14:paraId="33B190E0" w14:textId="31FF3066" w:rsidR="00E97D08" w:rsidRPr="008F25EC" w:rsidRDefault="00065BF4"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здійснити класифікацію кожного суб’єкта господарювання </w:t>
      </w:r>
      <w:r w:rsidR="007B54F7" w:rsidRPr="008F25EC">
        <w:rPr>
          <w:rFonts w:ascii="Times New Roman" w:hAnsi="Times New Roman" w:cs="Times New Roman"/>
          <w:color w:val="000000"/>
          <w:sz w:val="28"/>
          <w:szCs w:val="28"/>
          <w:shd w:val="clear" w:color="auto" w:fill="FFFFFF"/>
          <w:lang w:val="uk-UA"/>
        </w:rPr>
        <w:t xml:space="preserve">за ступенями ризику </w:t>
      </w:r>
      <w:r w:rsidRPr="008F25EC">
        <w:rPr>
          <w:rFonts w:ascii="Times New Roman" w:hAnsi="Times New Roman" w:cs="Times New Roman"/>
          <w:color w:val="000000"/>
          <w:sz w:val="28"/>
          <w:szCs w:val="28"/>
          <w:shd w:val="clear" w:color="auto" w:fill="FFFFFF"/>
          <w:lang w:val="uk-UA"/>
        </w:rPr>
        <w:t>в</w:t>
      </w:r>
      <w:r w:rsidR="00FE2B5F" w:rsidRPr="008F25EC">
        <w:rPr>
          <w:rFonts w:ascii="Times New Roman" w:hAnsi="Times New Roman" w:cs="Times New Roman"/>
          <w:color w:val="000000"/>
          <w:sz w:val="28"/>
          <w:szCs w:val="28"/>
          <w:shd w:val="clear" w:color="auto" w:fill="FFFFFF"/>
          <w:lang w:val="uk-UA"/>
        </w:rPr>
        <w:t>ідповідно до отриманих балів</w:t>
      </w:r>
      <w:r w:rsidR="00A608CB" w:rsidRPr="008F25EC">
        <w:rPr>
          <w:rFonts w:ascii="Times New Roman" w:hAnsi="Times New Roman" w:cs="Times New Roman"/>
          <w:color w:val="000000"/>
          <w:sz w:val="28"/>
          <w:szCs w:val="28"/>
          <w:shd w:val="clear" w:color="auto" w:fill="FFFFFF"/>
          <w:lang w:val="uk-UA"/>
        </w:rPr>
        <w:t xml:space="preserve"> з урахуванням значення прийнятного ризику</w:t>
      </w:r>
      <w:r w:rsidR="008F59B7" w:rsidRPr="008F25EC">
        <w:rPr>
          <w:rFonts w:ascii="Times New Roman" w:hAnsi="Times New Roman" w:cs="Times New Roman"/>
          <w:color w:val="000000"/>
          <w:sz w:val="28"/>
          <w:szCs w:val="28"/>
          <w:shd w:val="clear" w:color="auto" w:fill="FFFFFF"/>
          <w:lang w:val="uk-UA"/>
        </w:rPr>
        <w:t>.</w:t>
      </w:r>
    </w:p>
    <w:p w14:paraId="3E0FB25F" w14:textId="160FD198"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Оцінка ризику складається з таких етапів:</w:t>
      </w:r>
    </w:p>
    <w:p w14:paraId="7B3ACDE9" w14:textId="2CB9087D"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ідентифікація ризику;</w:t>
      </w:r>
    </w:p>
    <w:p w14:paraId="19FA56F6" w14:textId="5427E594"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аналіз ризику;</w:t>
      </w:r>
    </w:p>
    <w:p w14:paraId="33E6E3D3" w14:textId="0E1D0F08"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зважування (оцінювання) ризику.</w:t>
      </w:r>
      <w:bookmarkStart w:id="10" w:name="_Ref476066280"/>
    </w:p>
    <w:p w14:paraId="089940C8" w14:textId="36E314AA" w:rsidR="00E97D08" w:rsidRPr="008F25EC" w:rsidRDefault="0053414E"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Джерела інформації, </w:t>
      </w:r>
      <w:r w:rsidR="00A608CB" w:rsidRPr="008F25EC">
        <w:rPr>
          <w:rFonts w:ascii="Times New Roman" w:hAnsi="Times New Roman" w:cs="Times New Roman"/>
          <w:color w:val="000000"/>
          <w:sz w:val="28"/>
          <w:szCs w:val="28"/>
          <w:shd w:val="clear" w:color="auto" w:fill="FFFFFF"/>
          <w:lang w:val="uk-UA"/>
        </w:rPr>
        <w:t>які слід використовувати</w:t>
      </w:r>
      <w:r w:rsidRPr="008F25EC">
        <w:rPr>
          <w:rFonts w:ascii="Times New Roman" w:hAnsi="Times New Roman" w:cs="Times New Roman"/>
          <w:color w:val="000000"/>
          <w:sz w:val="28"/>
          <w:szCs w:val="28"/>
          <w:shd w:val="clear" w:color="auto" w:fill="FFFFFF"/>
          <w:lang w:val="uk-UA"/>
        </w:rPr>
        <w:t xml:space="preserve"> органу державного нагляду (контролю) при здійсненні оцінки ризику, можуть включати, але не є обмеженими:</w:t>
      </w:r>
      <w:bookmarkEnd w:id="10"/>
    </w:p>
    <w:p w14:paraId="7A56E696" w14:textId="51796560" w:rsidR="00E97D08" w:rsidRPr="008F25EC" w:rsidRDefault="0053414E"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статистичними даними;</w:t>
      </w:r>
    </w:p>
    <w:p w14:paraId="72D8EF97" w14:textId="7323C826" w:rsidR="00E97D08" w:rsidRPr="008F25EC" w:rsidRDefault="0053414E"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практикою нагляду (контролю) у сфері, що віднесена до відання цього органу державного нагляду (контролю), а також інших релевантних сферах нагляду (контролю);</w:t>
      </w:r>
    </w:p>
    <w:p w14:paraId="076C71AA" w14:textId="3E4C2FC5" w:rsidR="00E97D08" w:rsidRPr="008F25EC" w:rsidRDefault="0053414E"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даними сучасних наукових досліджень;</w:t>
      </w:r>
    </w:p>
    <w:p w14:paraId="66513955" w14:textId="7E132675" w:rsidR="00E97D08" w:rsidRPr="008F25EC" w:rsidRDefault="0053414E"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позитивним досвідом та кращою практикою інших держав;</w:t>
      </w:r>
    </w:p>
    <w:p w14:paraId="55116305" w14:textId="76B45903" w:rsidR="00E97D08" w:rsidRPr="008F25EC" w:rsidRDefault="0053414E"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рекомендаціями галузевих міжнародних організацій.</w:t>
      </w:r>
    </w:p>
    <w:p w14:paraId="17109B4C" w14:textId="2F784A44" w:rsidR="00E97D08" w:rsidRPr="008F25EC" w:rsidRDefault="0053414E"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На етапі </w:t>
      </w:r>
      <w:r w:rsidR="00E74ADB" w:rsidRPr="008F25EC">
        <w:rPr>
          <w:rFonts w:ascii="Times New Roman" w:hAnsi="Times New Roman" w:cs="Times New Roman"/>
          <w:color w:val="000000"/>
          <w:sz w:val="28"/>
          <w:szCs w:val="28"/>
          <w:shd w:val="clear" w:color="auto" w:fill="FFFFFF"/>
          <w:lang w:val="uk-UA"/>
        </w:rPr>
        <w:t>ідентифікації ризику орган державного нагляду (контролю) створює комплексний перелік негативних наслідків від провадження господарської діяльності, що підлягає державному нагляду (контролю), та/або небезпек, що є для неї притаманними.</w:t>
      </w:r>
    </w:p>
    <w:p w14:paraId="73227C56" w14:textId="267274CB"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Ідентифікація ризику передбачає:</w:t>
      </w:r>
    </w:p>
    <w:p w14:paraId="0D08E542" w14:textId="1E7B551E"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використання історичних даних про такі наслідки та/або небезпеки, а також про події, що призвели до їх появи</w:t>
      </w:r>
      <w:r w:rsidR="00FF014A" w:rsidRPr="008F25EC">
        <w:rPr>
          <w:rFonts w:ascii="Times New Roman" w:hAnsi="Times New Roman" w:cs="Times New Roman"/>
          <w:color w:val="000000"/>
          <w:sz w:val="28"/>
          <w:szCs w:val="28"/>
          <w:shd w:val="clear" w:color="auto" w:fill="FFFFFF"/>
          <w:lang w:val="uk-UA"/>
        </w:rPr>
        <w:t xml:space="preserve">, (з використанням джерел, зазначених в пункті </w:t>
      </w:r>
      <w:r w:rsidR="00FF014A" w:rsidRPr="008F25EC">
        <w:rPr>
          <w:rFonts w:ascii="Times New Roman" w:hAnsi="Times New Roman" w:cs="Times New Roman"/>
          <w:color w:val="000000"/>
          <w:sz w:val="28"/>
          <w:szCs w:val="28"/>
          <w:shd w:val="clear" w:color="auto" w:fill="FFFFFF"/>
          <w:lang w:val="uk-UA"/>
        </w:rPr>
        <w:fldChar w:fldCharType="begin"/>
      </w:r>
      <w:r w:rsidR="00FF014A" w:rsidRPr="008F25EC">
        <w:rPr>
          <w:rFonts w:ascii="Times New Roman" w:hAnsi="Times New Roman" w:cs="Times New Roman"/>
          <w:color w:val="000000"/>
          <w:sz w:val="28"/>
          <w:szCs w:val="28"/>
          <w:shd w:val="clear" w:color="auto" w:fill="FFFFFF"/>
          <w:lang w:val="uk-UA"/>
        </w:rPr>
        <w:instrText xml:space="preserve"> REF _Ref476066280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FF014A" w:rsidRPr="008F25EC">
        <w:rPr>
          <w:rFonts w:ascii="Times New Roman" w:hAnsi="Times New Roman" w:cs="Times New Roman"/>
          <w:color w:val="000000"/>
          <w:sz w:val="28"/>
          <w:szCs w:val="28"/>
          <w:shd w:val="clear" w:color="auto" w:fill="FFFFFF"/>
          <w:lang w:val="uk-UA"/>
        </w:rPr>
      </w:r>
      <w:r w:rsidR="00FF014A"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16</w:t>
      </w:r>
      <w:r w:rsidR="00FF014A" w:rsidRPr="008F25EC">
        <w:rPr>
          <w:rFonts w:ascii="Times New Roman" w:hAnsi="Times New Roman" w:cs="Times New Roman"/>
          <w:color w:val="000000"/>
          <w:sz w:val="28"/>
          <w:szCs w:val="28"/>
          <w:shd w:val="clear" w:color="auto" w:fill="FFFFFF"/>
          <w:lang w:val="uk-UA"/>
        </w:rPr>
        <w:fldChar w:fldCharType="end"/>
      </w:r>
      <w:r w:rsidR="00FF014A" w:rsidRPr="008F25EC">
        <w:rPr>
          <w:rFonts w:ascii="Times New Roman" w:hAnsi="Times New Roman" w:cs="Times New Roman"/>
          <w:color w:val="000000"/>
          <w:sz w:val="28"/>
          <w:szCs w:val="28"/>
          <w:shd w:val="clear" w:color="auto" w:fill="FFFFFF"/>
          <w:lang w:val="uk-UA"/>
        </w:rPr>
        <w:t xml:space="preserve"> вище)</w:t>
      </w:r>
      <w:r w:rsidRPr="008F25EC">
        <w:rPr>
          <w:rFonts w:ascii="Times New Roman" w:hAnsi="Times New Roman" w:cs="Times New Roman"/>
          <w:color w:val="000000"/>
          <w:sz w:val="28"/>
          <w:szCs w:val="28"/>
          <w:shd w:val="clear" w:color="auto" w:fill="FFFFFF"/>
          <w:lang w:val="uk-UA"/>
        </w:rPr>
        <w:t>;</w:t>
      </w:r>
    </w:p>
    <w:p w14:paraId="294FCBC0" w14:textId="6A426329"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 xml:space="preserve">їх обговорення </w:t>
      </w:r>
      <w:r w:rsidR="00E92B12" w:rsidRPr="008F25EC">
        <w:rPr>
          <w:rFonts w:ascii="Times New Roman" w:hAnsi="Times New Roman" w:cs="Times New Roman"/>
          <w:color w:val="000000"/>
          <w:sz w:val="28"/>
          <w:szCs w:val="28"/>
          <w:shd w:val="clear" w:color="auto" w:fill="FFFFFF"/>
          <w:lang w:val="uk-UA"/>
        </w:rPr>
        <w:t xml:space="preserve">між </w:t>
      </w:r>
      <w:r w:rsidRPr="008F25EC">
        <w:rPr>
          <w:rFonts w:ascii="Times New Roman" w:hAnsi="Times New Roman" w:cs="Times New Roman"/>
          <w:color w:val="000000"/>
          <w:sz w:val="28"/>
          <w:szCs w:val="28"/>
          <w:shd w:val="clear" w:color="auto" w:fill="FFFFFF"/>
          <w:lang w:val="uk-UA"/>
        </w:rPr>
        <w:t>спеціалістами орган</w:t>
      </w:r>
      <w:r w:rsidR="00A608CB" w:rsidRPr="008F25EC">
        <w:rPr>
          <w:rFonts w:ascii="Times New Roman" w:hAnsi="Times New Roman" w:cs="Times New Roman"/>
          <w:color w:val="000000"/>
          <w:sz w:val="28"/>
          <w:szCs w:val="28"/>
          <w:shd w:val="clear" w:color="auto" w:fill="FFFFFF"/>
          <w:lang w:val="uk-UA"/>
        </w:rPr>
        <w:t xml:space="preserve">у державного нагляду (контролю) та </w:t>
      </w:r>
      <w:r w:rsidRPr="008F25EC">
        <w:rPr>
          <w:rFonts w:ascii="Times New Roman" w:hAnsi="Times New Roman" w:cs="Times New Roman"/>
          <w:color w:val="000000"/>
          <w:sz w:val="28"/>
          <w:szCs w:val="28"/>
          <w:shd w:val="clear" w:color="auto" w:fill="FFFFFF"/>
          <w:lang w:val="uk-UA"/>
        </w:rPr>
        <w:t>консультацій з суб’єктами господарювання щодо повноти переліку.</w:t>
      </w:r>
    </w:p>
    <w:p w14:paraId="7548561F" w14:textId="11DFF4A0"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Аналіз ризику </w:t>
      </w:r>
      <w:r w:rsidR="00F80A55" w:rsidRPr="008F25EC">
        <w:rPr>
          <w:rFonts w:ascii="Times New Roman" w:hAnsi="Times New Roman" w:cs="Times New Roman"/>
          <w:color w:val="000000"/>
          <w:sz w:val="28"/>
          <w:szCs w:val="28"/>
          <w:shd w:val="clear" w:color="auto" w:fill="FFFFFF"/>
          <w:lang w:val="uk-UA"/>
        </w:rPr>
        <w:t xml:space="preserve">передбачає детальне вивчення </w:t>
      </w:r>
      <w:r w:rsidRPr="008F25EC">
        <w:rPr>
          <w:rFonts w:ascii="Times New Roman" w:hAnsi="Times New Roman" w:cs="Times New Roman"/>
          <w:color w:val="000000"/>
          <w:sz w:val="28"/>
          <w:szCs w:val="28"/>
          <w:shd w:val="clear" w:color="auto" w:fill="FFFFFF"/>
          <w:lang w:val="uk-UA"/>
        </w:rPr>
        <w:t>ідентифікованих ризиків, що складається з таких частин:</w:t>
      </w:r>
    </w:p>
    <w:p w14:paraId="731CC723" w14:textId="5763F87E"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виз</w:t>
      </w:r>
      <w:r w:rsidR="00C2145C" w:rsidRPr="008F25EC">
        <w:rPr>
          <w:rFonts w:ascii="Times New Roman" w:hAnsi="Times New Roman" w:cs="Times New Roman"/>
          <w:color w:val="000000"/>
          <w:sz w:val="28"/>
          <w:szCs w:val="28"/>
          <w:shd w:val="clear" w:color="auto" w:fill="FFFFFF"/>
          <w:lang w:val="uk-UA"/>
        </w:rPr>
        <w:t xml:space="preserve">начення імовірності виникнення </w:t>
      </w:r>
      <w:r w:rsidRPr="008F25EC">
        <w:rPr>
          <w:rFonts w:ascii="Times New Roman" w:hAnsi="Times New Roman" w:cs="Times New Roman"/>
          <w:color w:val="000000"/>
          <w:sz w:val="28"/>
          <w:szCs w:val="28"/>
          <w:shd w:val="clear" w:color="auto" w:fill="FFFFFF"/>
          <w:lang w:val="uk-UA"/>
        </w:rPr>
        <w:t>негативних наслідків від провадження господарської діяльності;</w:t>
      </w:r>
    </w:p>
    <w:p w14:paraId="32108EDD" w14:textId="20AC6C92"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визначення можливого розміру втрат від їх виникнення.</w:t>
      </w:r>
    </w:p>
    <w:p w14:paraId="40458595" w14:textId="60E0AB76" w:rsidR="00E97D08" w:rsidRDefault="00C2145C"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Поєднання цих частин дозв</w:t>
      </w:r>
      <w:r w:rsidR="000738C1" w:rsidRPr="008F25EC">
        <w:rPr>
          <w:rFonts w:ascii="Times New Roman" w:hAnsi="Times New Roman" w:cs="Times New Roman"/>
          <w:color w:val="000000"/>
          <w:sz w:val="28"/>
          <w:szCs w:val="28"/>
          <w:shd w:val="clear" w:color="auto" w:fill="FFFFFF"/>
          <w:lang w:val="uk-UA"/>
        </w:rPr>
        <w:t>олить органу державного нагляду (контролю) розробити матрицю розподілу суб’єктів гос</w:t>
      </w:r>
      <w:r w:rsidR="008A5502" w:rsidRPr="008F25EC">
        <w:rPr>
          <w:rFonts w:ascii="Times New Roman" w:hAnsi="Times New Roman" w:cs="Times New Roman"/>
          <w:color w:val="000000"/>
          <w:sz w:val="28"/>
          <w:szCs w:val="28"/>
          <w:shd w:val="clear" w:color="auto" w:fill="FFFFFF"/>
          <w:lang w:val="uk-UA"/>
        </w:rPr>
        <w:t>подарювання за ступенями ризику (</w:t>
      </w:r>
      <w:r w:rsidR="00326D21" w:rsidRPr="008F25EC">
        <w:rPr>
          <w:rFonts w:ascii="Times New Roman" w:hAnsi="Times New Roman" w:cs="Times New Roman"/>
          <w:color w:val="000000"/>
          <w:sz w:val="28"/>
          <w:szCs w:val="28"/>
          <w:shd w:val="clear" w:color="auto" w:fill="FFFFFF"/>
          <w:lang w:val="uk-UA"/>
        </w:rPr>
        <w:t xml:space="preserve">наприклад, </w:t>
      </w:r>
      <w:r w:rsidR="008A5502" w:rsidRPr="008F25EC">
        <w:rPr>
          <w:rFonts w:ascii="Times New Roman" w:hAnsi="Times New Roman" w:cs="Times New Roman"/>
          <w:color w:val="000000"/>
          <w:sz w:val="28"/>
          <w:szCs w:val="28"/>
          <w:shd w:val="clear" w:color="auto" w:fill="FFFFFF"/>
          <w:lang w:val="uk-UA"/>
        </w:rPr>
        <w:t>Рис. 1).</w:t>
      </w:r>
    </w:p>
    <w:p w14:paraId="261EC588" w14:textId="77777777" w:rsidR="008F25EC" w:rsidRPr="008F25EC" w:rsidRDefault="008F25EC"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p>
    <w:p w14:paraId="76B1B92F" w14:textId="1B398ECF" w:rsidR="008A5502" w:rsidRPr="008F25EC" w:rsidRDefault="00C71C07" w:rsidP="008F25EC">
      <w:pPr>
        <w:tabs>
          <w:tab w:val="left" w:pos="1134"/>
        </w:tabs>
        <w:spacing w:before="60" w:after="60" w:line="240" w:lineRule="auto"/>
        <w:ind w:firstLine="709"/>
        <w:jc w:val="both"/>
        <w:rPr>
          <w:rFonts w:ascii="Times New Roman" w:hAnsi="Times New Roman" w:cs="Times New Roman"/>
          <w:i/>
          <w:color w:val="000000"/>
          <w:sz w:val="28"/>
          <w:szCs w:val="28"/>
          <w:shd w:val="clear" w:color="auto" w:fill="FFFFFF"/>
          <w:lang w:val="uk-UA"/>
        </w:rPr>
      </w:pPr>
      <w:r w:rsidRPr="008F25EC">
        <w:rPr>
          <w:rFonts w:ascii="Times New Roman" w:hAnsi="Times New Roman" w:cs="Times New Roman"/>
          <w:i/>
          <w:color w:val="000000"/>
          <w:sz w:val="28"/>
          <w:szCs w:val="28"/>
          <w:shd w:val="clear" w:color="auto" w:fill="FFFFFF"/>
          <w:lang w:val="uk-UA"/>
        </w:rPr>
        <w:t>Рис. 1</w:t>
      </w:r>
    </w:p>
    <w:tbl>
      <w:tblPr>
        <w:tblStyle w:val="ac"/>
        <w:tblW w:w="9471" w:type="dxa"/>
        <w:tblLook w:val="04A0" w:firstRow="1" w:lastRow="0" w:firstColumn="1" w:lastColumn="0" w:noHBand="0" w:noVBand="1"/>
      </w:tblPr>
      <w:tblGrid>
        <w:gridCol w:w="851"/>
        <w:gridCol w:w="2268"/>
        <w:gridCol w:w="1271"/>
        <w:gridCol w:w="1267"/>
        <w:gridCol w:w="1277"/>
        <w:gridCol w:w="1263"/>
        <w:gridCol w:w="1263"/>
        <w:gridCol w:w="11"/>
      </w:tblGrid>
      <w:tr w:rsidR="008A5502" w:rsidRPr="008F25EC" w14:paraId="66A9699F" w14:textId="77777777" w:rsidTr="008F25EC">
        <w:tc>
          <w:tcPr>
            <w:tcW w:w="851" w:type="dxa"/>
            <w:tcBorders>
              <w:top w:val="nil"/>
              <w:left w:val="nil"/>
              <w:bottom w:val="nil"/>
              <w:right w:val="nil"/>
            </w:tcBorders>
          </w:tcPr>
          <w:p w14:paraId="16AC455E" w14:textId="77777777" w:rsidR="008A5502"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p>
        </w:tc>
        <w:tc>
          <w:tcPr>
            <w:tcW w:w="8620" w:type="dxa"/>
            <w:gridSpan w:val="7"/>
            <w:tcBorders>
              <w:top w:val="nil"/>
              <w:left w:val="nil"/>
              <w:bottom w:val="single" w:sz="4" w:space="0" w:color="auto"/>
              <w:right w:val="nil"/>
            </w:tcBorders>
          </w:tcPr>
          <w:p w14:paraId="69EDE650" w14:textId="0D51D079" w:rsidR="008A5502" w:rsidRPr="008F25EC" w:rsidRDefault="008F25EC" w:rsidP="008F25EC">
            <w:pPr>
              <w:pStyle w:val="a3"/>
              <w:spacing w:before="60" w:after="60"/>
              <w:ind w:left="0"/>
              <w:contextualSpacing w:val="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A5502" w:rsidRPr="008F25EC">
              <w:rPr>
                <w:rFonts w:ascii="Times New Roman" w:hAnsi="Times New Roman" w:cs="Times New Roman"/>
                <w:b/>
                <w:sz w:val="28"/>
                <w:szCs w:val="28"/>
                <w:lang w:val="uk-UA"/>
              </w:rPr>
              <w:t>Імовірність настання негативних наслідків</w:t>
            </w:r>
          </w:p>
        </w:tc>
      </w:tr>
      <w:tr w:rsidR="008A5502" w:rsidRPr="008F25EC" w14:paraId="7015406D" w14:textId="77777777" w:rsidTr="008F25EC">
        <w:trPr>
          <w:gridAfter w:val="1"/>
          <w:wAfter w:w="11" w:type="dxa"/>
        </w:trPr>
        <w:tc>
          <w:tcPr>
            <w:tcW w:w="851" w:type="dxa"/>
            <w:vMerge w:val="restart"/>
            <w:tcBorders>
              <w:top w:val="nil"/>
              <w:left w:val="nil"/>
              <w:bottom w:val="nil"/>
            </w:tcBorders>
            <w:textDirection w:val="btLr"/>
            <w:vAlign w:val="center"/>
          </w:tcPr>
          <w:p w14:paraId="0C45DB72" w14:textId="57ABC3F0" w:rsidR="008A5502" w:rsidRPr="008F25EC" w:rsidRDefault="0014144A" w:rsidP="008F25EC">
            <w:pPr>
              <w:pStyle w:val="a3"/>
              <w:tabs>
                <w:tab w:val="left" w:pos="1134"/>
              </w:tabs>
              <w:spacing w:before="60" w:after="60"/>
              <w:ind w:left="113" w:right="113"/>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Розмір втрат</w:t>
            </w:r>
          </w:p>
        </w:tc>
        <w:tc>
          <w:tcPr>
            <w:tcW w:w="2268" w:type="dxa"/>
            <w:tcBorders>
              <w:top w:val="single" w:sz="4" w:space="0" w:color="auto"/>
            </w:tcBorders>
          </w:tcPr>
          <w:p w14:paraId="6F00605B" w14:textId="77777777" w:rsidR="008A5502"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p>
        </w:tc>
        <w:tc>
          <w:tcPr>
            <w:tcW w:w="1271" w:type="dxa"/>
            <w:tcBorders>
              <w:top w:val="single" w:sz="4" w:space="0" w:color="auto"/>
            </w:tcBorders>
            <w:vAlign w:val="center"/>
          </w:tcPr>
          <w:p w14:paraId="7C7D68E2" w14:textId="65363FC9" w:rsidR="008A5502" w:rsidRPr="008F25EC" w:rsidRDefault="00F534CC"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Дуже низька</w:t>
            </w:r>
          </w:p>
        </w:tc>
        <w:tc>
          <w:tcPr>
            <w:tcW w:w="1267" w:type="dxa"/>
            <w:tcBorders>
              <w:top w:val="single" w:sz="4" w:space="0" w:color="auto"/>
            </w:tcBorders>
            <w:vAlign w:val="center"/>
          </w:tcPr>
          <w:p w14:paraId="722DA09B" w14:textId="2D13F60D" w:rsidR="008A5502" w:rsidRPr="008F25EC" w:rsidRDefault="00F534CC"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Низька</w:t>
            </w:r>
          </w:p>
        </w:tc>
        <w:tc>
          <w:tcPr>
            <w:tcW w:w="1277" w:type="dxa"/>
            <w:tcBorders>
              <w:top w:val="single" w:sz="4" w:space="0" w:color="auto"/>
            </w:tcBorders>
            <w:vAlign w:val="center"/>
          </w:tcPr>
          <w:p w14:paraId="5B7759E9" w14:textId="2DFBF66C" w:rsidR="008A5502" w:rsidRPr="008F25EC" w:rsidRDefault="00F534CC"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Середня</w:t>
            </w:r>
          </w:p>
        </w:tc>
        <w:tc>
          <w:tcPr>
            <w:tcW w:w="1263" w:type="dxa"/>
            <w:tcBorders>
              <w:top w:val="single" w:sz="4" w:space="0" w:color="auto"/>
            </w:tcBorders>
            <w:vAlign w:val="center"/>
          </w:tcPr>
          <w:p w14:paraId="0CC12660" w14:textId="5D7A8BB1" w:rsidR="008A5502" w:rsidRPr="008F25EC" w:rsidRDefault="00F534CC"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Висока</w:t>
            </w:r>
          </w:p>
        </w:tc>
        <w:tc>
          <w:tcPr>
            <w:tcW w:w="1263" w:type="dxa"/>
            <w:tcBorders>
              <w:top w:val="single" w:sz="4" w:space="0" w:color="auto"/>
            </w:tcBorders>
            <w:vAlign w:val="center"/>
          </w:tcPr>
          <w:p w14:paraId="68E9E579" w14:textId="41D782A4" w:rsidR="008A5502" w:rsidRPr="008F25EC" w:rsidRDefault="00F534CC"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Дуже висока</w:t>
            </w:r>
          </w:p>
        </w:tc>
      </w:tr>
      <w:tr w:rsidR="00F534CC" w:rsidRPr="008F25EC" w14:paraId="4E2BE2CE" w14:textId="77777777" w:rsidTr="008F25EC">
        <w:trPr>
          <w:gridAfter w:val="1"/>
          <w:wAfter w:w="11" w:type="dxa"/>
          <w:trHeight w:val="400"/>
        </w:trPr>
        <w:tc>
          <w:tcPr>
            <w:tcW w:w="851" w:type="dxa"/>
            <w:vMerge/>
            <w:tcBorders>
              <w:left w:val="nil"/>
              <w:bottom w:val="nil"/>
            </w:tcBorders>
          </w:tcPr>
          <w:p w14:paraId="7A557DE5" w14:textId="77777777" w:rsidR="008A5502"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p>
        </w:tc>
        <w:tc>
          <w:tcPr>
            <w:tcW w:w="2268" w:type="dxa"/>
            <w:vAlign w:val="center"/>
          </w:tcPr>
          <w:p w14:paraId="3CCBB466" w14:textId="2A385F46" w:rsidR="008A5502"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r w:rsidRPr="008F25EC">
              <w:rPr>
                <w:rFonts w:ascii="Times New Roman" w:hAnsi="Times New Roman" w:cs="Times New Roman"/>
                <w:b/>
                <w:sz w:val="28"/>
                <w:szCs w:val="28"/>
                <w:lang w:val="uk-UA"/>
              </w:rPr>
              <w:t>Високий</w:t>
            </w:r>
            <w:r w:rsidR="00E00AEA" w:rsidRPr="008F25EC">
              <w:rPr>
                <w:rFonts w:ascii="Times New Roman" w:hAnsi="Times New Roman" w:cs="Times New Roman"/>
                <w:b/>
                <w:sz w:val="28"/>
                <w:szCs w:val="28"/>
                <w:lang w:val="uk-UA"/>
              </w:rPr>
              <w:t xml:space="preserve"> (В)</w:t>
            </w:r>
          </w:p>
        </w:tc>
        <w:tc>
          <w:tcPr>
            <w:tcW w:w="1271" w:type="dxa"/>
            <w:shd w:val="clear" w:color="auto" w:fill="D9D9D9" w:themeFill="background1" w:themeFillShade="D9"/>
            <w:vAlign w:val="center"/>
          </w:tcPr>
          <w:p w14:paraId="6DD490C8"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НС</w:t>
            </w:r>
          </w:p>
        </w:tc>
        <w:tc>
          <w:tcPr>
            <w:tcW w:w="1267" w:type="dxa"/>
            <w:shd w:val="clear" w:color="auto" w:fill="A6A6A6" w:themeFill="background1" w:themeFillShade="A6"/>
            <w:vAlign w:val="center"/>
          </w:tcPr>
          <w:p w14:paraId="0EC33FCC" w14:textId="5CADB341"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w:t>
            </w:r>
          </w:p>
        </w:tc>
        <w:tc>
          <w:tcPr>
            <w:tcW w:w="1277" w:type="dxa"/>
            <w:shd w:val="clear" w:color="auto" w:fill="A6A6A6" w:themeFill="background1" w:themeFillShade="A6"/>
            <w:vAlign w:val="center"/>
          </w:tcPr>
          <w:p w14:paraId="73732164" w14:textId="5B11DC24"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w:t>
            </w:r>
          </w:p>
        </w:tc>
        <w:tc>
          <w:tcPr>
            <w:tcW w:w="1263" w:type="dxa"/>
            <w:shd w:val="clear" w:color="auto" w:fill="808080" w:themeFill="background1" w:themeFillShade="80"/>
            <w:vAlign w:val="center"/>
          </w:tcPr>
          <w:p w14:paraId="22D4E095"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В</w:t>
            </w:r>
          </w:p>
        </w:tc>
        <w:tc>
          <w:tcPr>
            <w:tcW w:w="1263" w:type="dxa"/>
            <w:shd w:val="clear" w:color="auto" w:fill="808080" w:themeFill="background1" w:themeFillShade="80"/>
            <w:vAlign w:val="center"/>
          </w:tcPr>
          <w:p w14:paraId="5BB8734B"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В</w:t>
            </w:r>
          </w:p>
        </w:tc>
      </w:tr>
      <w:tr w:rsidR="00F534CC" w:rsidRPr="008F25EC" w14:paraId="79868D85" w14:textId="77777777" w:rsidTr="008F25EC">
        <w:trPr>
          <w:gridAfter w:val="1"/>
          <w:wAfter w:w="11" w:type="dxa"/>
          <w:trHeight w:val="539"/>
        </w:trPr>
        <w:tc>
          <w:tcPr>
            <w:tcW w:w="851" w:type="dxa"/>
            <w:vMerge/>
            <w:tcBorders>
              <w:left w:val="nil"/>
              <w:bottom w:val="nil"/>
            </w:tcBorders>
          </w:tcPr>
          <w:p w14:paraId="04A8DB85" w14:textId="77777777" w:rsidR="008A5502"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p>
        </w:tc>
        <w:tc>
          <w:tcPr>
            <w:tcW w:w="2268" w:type="dxa"/>
            <w:vAlign w:val="center"/>
          </w:tcPr>
          <w:p w14:paraId="5CFA3942" w14:textId="2DC1B6A9" w:rsidR="008A5502" w:rsidRPr="008F25EC" w:rsidRDefault="00FF2D8F" w:rsidP="008F25EC">
            <w:pPr>
              <w:pStyle w:val="a3"/>
              <w:tabs>
                <w:tab w:val="left" w:pos="1134"/>
              </w:tabs>
              <w:spacing w:before="60" w:after="60"/>
              <w:ind w:left="0"/>
              <w:contextualSpacing w:val="0"/>
              <w:jc w:val="both"/>
              <w:rPr>
                <w:rFonts w:ascii="Times New Roman" w:hAnsi="Times New Roman" w:cs="Times New Roman"/>
                <w:b/>
                <w:sz w:val="28"/>
                <w:szCs w:val="28"/>
                <w:lang w:val="uk-UA"/>
              </w:rPr>
            </w:pPr>
            <w:r w:rsidRPr="008F25EC">
              <w:rPr>
                <w:rFonts w:ascii="Times New Roman" w:hAnsi="Times New Roman" w:cs="Times New Roman"/>
                <w:b/>
                <w:sz w:val="28"/>
                <w:szCs w:val="28"/>
                <w:lang w:val="uk-UA"/>
              </w:rPr>
              <w:t>Середній</w:t>
            </w:r>
            <w:r w:rsidR="00E00AEA" w:rsidRPr="008F25EC">
              <w:rPr>
                <w:rFonts w:ascii="Times New Roman" w:hAnsi="Times New Roman" w:cs="Times New Roman"/>
                <w:b/>
                <w:sz w:val="28"/>
                <w:szCs w:val="28"/>
                <w:lang w:val="uk-UA"/>
              </w:rPr>
              <w:t xml:space="preserve"> (С)</w:t>
            </w:r>
          </w:p>
        </w:tc>
        <w:tc>
          <w:tcPr>
            <w:tcW w:w="1271" w:type="dxa"/>
            <w:shd w:val="clear" w:color="auto" w:fill="D9D9D9" w:themeFill="background1" w:themeFillShade="D9"/>
            <w:vAlign w:val="center"/>
          </w:tcPr>
          <w:p w14:paraId="06737ECF"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НС</w:t>
            </w:r>
          </w:p>
        </w:tc>
        <w:tc>
          <w:tcPr>
            <w:tcW w:w="1267" w:type="dxa"/>
            <w:shd w:val="clear" w:color="auto" w:fill="D9D9D9" w:themeFill="background1" w:themeFillShade="D9"/>
            <w:vAlign w:val="center"/>
          </w:tcPr>
          <w:p w14:paraId="17D478E9"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НС</w:t>
            </w:r>
          </w:p>
        </w:tc>
        <w:tc>
          <w:tcPr>
            <w:tcW w:w="1277" w:type="dxa"/>
            <w:shd w:val="clear" w:color="auto" w:fill="A6A6A6" w:themeFill="background1" w:themeFillShade="A6"/>
            <w:vAlign w:val="center"/>
          </w:tcPr>
          <w:p w14:paraId="4D2F2E7A" w14:textId="7A035036"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w:t>
            </w:r>
          </w:p>
        </w:tc>
        <w:tc>
          <w:tcPr>
            <w:tcW w:w="1263" w:type="dxa"/>
            <w:shd w:val="clear" w:color="auto" w:fill="A6A6A6" w:themeFill="background1" w:themeFillShade="A6"/>
            <w:vAlign w:val="center"/>
          </w:tcPr>
          <w:p w14:paraId="2616E220" w14:textId="038D2229"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w:t>
            </w:r>
          </w:p>
        </w:tc>
        <w:tc>
          <w:tcPr>
            <w:tcW w:w="1263" w:type="dxa"/>
            <w:shd w:val="clear" w:color="auto" w:fill="808080" w:themeFill="background1" w:themeFillShade="80"/>
            <w:vAlign w:val="center"/>
          </w:tcPr>
          <w:p w14:paraId="56EDBD5D"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В</w:t>
            </w:r>
          </w:p>
        </w:tc>
      </w:tr>
      <w:tr w:rsidR="00F534CC" w:rsidRPr="008F25EC" w14:paraId="2B4ADCA0" w14:textId="77777777" w:rsidTr="008F25EC">
        <w:trPr>
          <w:gridAfter w:val="1"/>
          <w:wAfter w:w="11" w:type="dxa"/>
        </w:trPr>
        <w:tc>
          <w:tcPr>
            <w:tcW w:w="851" w:type="dxa"/>
            <w:vMerge/>
            <w:tcBorders>
              <w:left w:val="nil"/>
              <w:bottom w:val="nil"/>
            </w:tcBorders>
          </w:tcPr>
          <w:p w14:paraId="39F0275F" w14:textId="77777777" w:rsidR="008A5502"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p>
        </w:tc>
        <w:tc>
          <w:tcPr>
            <w:tcW w:w="2268" w:type="dxa"/>
            <w:vAlign w:val="center"/>
          </w:tcPr>
          <w:p w14:paraId="4D232B52" w14:textId="4FD0900D" w:rsidR="00E00AEA"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r w:rsidRPr="008F25EC">
              <w:rPr>
                <w:rFonts w:ascii="Times New Roman" w:hAnsi="Times New Roman" w:cs="Times New Roman"/>
                <w:b/>
                <w:sz w:val="28"/>
                <w:szCs w:val="28"/>
                <w:lang w:val="uk-UA"/>
              </w:rPr>
              <w:t>Нижче середнього</w:t>
            </w:r>
            <w:r w:rsidR="008F25EC">
              <w:rPr>
                <w:rFonts w:ascii="Times New Roman" w:hAnsi="Times New Roman" w:cs="Times New Roman"/>
                <w:b/>
                <w:sz w:val="28"/>
                <w:szCs w:val="28"/>
                <w:lang w:val="uk-UA"/>
              </w:rPr>
              <w:t xml:space="preserve"> </w:t>
            </w:r>
            <w:r w:rsidR="00E00AEA" w:rsidRPr="008F25EC">
              <w:rPr>
                <w:rFonts w:ascii="Times New Roman" w:hAnsi="Times New Roman" w:cs="Times New Roman"/>
                <w:b/>
                <w:sz w:val="28"/>
                <w:szCs w:val="28"/>
                <w:lang w:val="uk-UA"/>
              </w:rPr>
              <w:t>(НС)</w:t>
            </w:r>
          </w:p>
        </w:tc>
        <w:tc>
          <w:tcPr>
            <w:tcW w:w="1271" w:type="dxa"/>
            <w:shd w:val="clear" w:color="auto" w:fill="FFFFFF" w:themeFill="background1"/>
            <w:vAlign w:val="center"/>
          </w:tcPr>
          <w:p w14:paraId="5941D163"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w:t>
            </w:r>
          </w:p>
        </w:tc>
        <w:tc>
          <w:tcPr>
            <w:tcW w:w="1267" w:type="dxa"/>
            <w:shd w:val="clear" w:color="auto" w:fill="D9D9D9" w:themeFill="background1" w:themeFillShade="D9"/>
            <w:vAlign w:val="center"/>
          </w:tcPr>
          <w:p w14:paraId="4D0AB2AF"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НС</w:t>
            </w:r>
          </w:p>
        </w:tc>
        <w:tc>
          <w:tcPr>
            <w:tcW w:w="1277" w:type="dxa"/>
            <w:shd w:val="clear" w:color="auto" w:fill="D9D9D9" w:themeFill="background1" w:themeFillShade="D9"/>
            <w:vAlign w:val="center"/>
          </w:tcPr>
          <w:p w14:paraId="2E75B6BF"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НС</w:t>
            </w:r>
          </w:p>
        </w:tc>
        <w:tc>
          <w:tcPr>
            <w:tcW w:w="1263" w:type="dxa"/>
            <w:shd w:val="clear" w:color="auto" w:fill="A6A6A6" w:themeFill="background1" w:themeFillShade="A6"/>
            <w:vAlign w:val="center"/>
          </w:tcPr>
          <w:p w14:paraId="74F088B0" w14:textId="13FC1A12"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w:t>
            </w:r>
          </w:p>
        </w:tc>
        <w:tc>
          <w:tcPr>
            <w:tcW w:w="1263" w:type="dxa"/>
            <w:shd w:val="clear" w:color="auto" w:fill="A6A6A6" w:themeFill="background1" w:themeFillShade="A6"/>
            <w:vAlign w:val="center"/>
          </w:tcPr>
          <w:p w14:paraId="4AB8B6D5" w14:textId="6FAF5A54"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w:t>
            </w:r>
          </w:p>
        </w:tc>
      </w:tr>
      <w:tr w:rsidR="00F534CC" w:rsidRPr="008F25EC" w14:paraId="06CA2F58" w14:textId="77777777" w:rsidTr="008F25EC">
        <w:trPr>
          <w:gridAfter w:val="1"/>
          <w:wAfter w:w="11" w:type="dxa"/>
          <w:trHeight w:val="455"/>
        </w:trPr>
        <w:tc>
          <w:tcPr>
            <w:tcW w:w="851" w:type="dxa"/>
            <w:vMerge/>
            <w:tcBorders>
              <w:left w:val="nil"/>
              <w:bottom w:val="nil"/>
            </w:tcBorders>
          </w:tcPr>
          <w:p w14:paraId="71FEB865" w14:textId="77777777" w:rsidR="008A5502" w:rsidRPr="008F25EC" w:rsidRDefault="008A5502" w:rsidP="008F25EC">
            <w:pPr>
              <w:pStyle w:val="a3"/>
              <w:tabs>
                <w:tab w:val="left" w:pos="1134"/>
              </w:tabs>
              <w:spacing w:before="60" w:after="60"/>
              <w:ind w:left="0"/>
              <w:contextualSpacing w:val="0"/>
              <w:jc w:val="both"/>
              <w:rPr>
                <w:rFonts w:ascii="Times New Roman" w:hAnsi="Times New Roman" w:cs="Times New Roman"/>
                <w:b/>
                <w:sz w:val="28"/>
                <w:szCs w:val="28"/>
                <w:lang w:val="uk-UA"/>
              </w:rPr>
            </w:pPr>
          </w:p>
        </w:tc>
        <w:tc>
          <w:tcPr>
            <w:tcW w:w="2268" w:type="dxa"/>
            <w:vAlign w:val="center"/>
          </w:tcPr>
          <w:p w14:paraId="53F4E577" w14:textId="67885D39" w:rsidR="00E00AEA" w:rsidRPr="008F25EC" w:rsidRDefault="00E00AEA" w:rsidP="008F25EC">
            <w:pPr>
              <w:pStyle w:val="a3"/>
              <w:tabs>
                <w:tab w:val="left" w:pos="1134"/>
              </w:tabs>
              <w:spacing w:before="60" w:after="60"/>
              <w:ind w:left="0"/>
              <w:contextualSpacing w:val="0"/>
              <w:jc w:val="both"/>
              <w:rPr>
                <w:rFonts w:ascii="Times New Roman" w:hAnsi="Times New Roman" w:cs="Times New Roman"/>
                <w:b/>
                <w:sz w:val="28"/>
                <w:szCs w:val="28"/>
                <w:lang w:val="uk-UA"/>
              </w:rPr>
            </w:pPr>
            <w:r w:rsidRPr="008F25EC">
              <w:rPr>
                <w:rFonts w:ascii="Times New Roman" w:hAnsi="Times New Roman" w:cs="Times New Roman"/>
                <w:b/>
                <w:sz w:val="28"/>
                <w:szCs w:val="28"/>
                <w:lang w:val="uk-UA"/>
              </w:rPr>
              <w:t>Незначний</w:t>
            </w:r>
            <w:r w:rsidR="008F25EC">
              <w:rPr>
                <w:rFonts w:ascii="Times New Roman" w:hAnsi="Times New Roman" w:cs="Times New Roman"/>
                <w:b/>
                <w:sz w:val="28"/>
                <w:szCs w:val="28"/>
                <w:lang w:val="uk-UA"/>
              </w:rPr>
              <w:t xml:space="preserve"> </w:t>
            </w:r>
            <w:r w:rsidRPr="008F25EC">
              <w:rPr>
                <w:rFonts w:ascii="Times New Roman" w:hAnsi="Times New Roman" w:cs="Times New Roman"/>
                <w:b/>
                <w:sz w:val="28"/>
                <w:szCs w:val="28"/>
                <w:lang w:val="uk-UA"/>
              </w:rPr>
              <w:t>(Н)</w:t>
            </w:r>
          </w:p>
        </w:tc>
        <w:tc>
          <w:tcPr>
            <w:tcW w:w="1271" w:type="dxa"/>
            <w:shd w:val="clear" w:color="auto" w:fill="FFFFFF" w:themeFill="background1"/>
            <w:vAlign w:val="center"/>
          </w:tcPr>
          <w:p w14:paraId="7513D9EC"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w:t>
            </w:r>
          </w:p>
        </w:tc>
        <w:tc>
          <w:tcPr>
            <w:tcW w:w="1267" w:type="dxa"/>
            <w:shd w:val="clear" w:color="auto" w:fill="FFFFFF" w:themeFill="background1"/>
            <w:vAlign w:val="center"/>
          </w:tcPr>
          <w:p w14:paraId="159C2ED2"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w:t>
            </w:r>
          </w:p>
        </w:tc>
        <w:tc>
          <w:tcPr>
            <w:tcW w:w="1277" w:type="dxa"/>
            <w:shd w:val="clear" w:color="auto" w:fill="D9D9D9" w:themeFill="background1" w:themeFillShade="D9"/>
            <w:vAlign w:val="center"/>
          </w:tcPr>
          <w:p w14:paraId="23BCD9F9"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НС</w:t>
            </w:r>
          </w:p>
        </w:tc>
        <w:tc>
          <w:tcPr>
            <w:tcW w:w="1263" w:type="dxa"/>
            <w:shd w:val="clear" w:color="auto" w:fill="D9D9D9" w:themeFill="background1" w:themeFillShade="D9"/>
            <w:vAlign w:val="center"/>
          </w:tcPr>
          <w:p w14:paraId="1F02FB54" w14:textId="77777777"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НС</w:t>
            </w:r>
          </w:p>
        </w:tc>
        <w:tc>
          <w:tcPr>
            <w:tcW w:w="1263" w:type="dxa"/>
            <w:shd w:val="clear" w:color="auto" w:fill="A6A6A6" w:themeFill="background1" w:themeFillShade="A6"/>
            <w:vAlign w:val="center"/>
          </w:tcPr>
          <w:p w14:paraId="50707F23" w14:textId="0A05E18C" w:rsidR="008A5502" w:rsidRPr="008F25EC" w:rsidRDefault="008A5502" w:rsidP="008F25EC">
            <w:pPr>
              <w:pStyle w:val="a3"/>
              <w:tabs>
                <w:tab w:val="left" w:pos="1134"/>
              </w:tabs>
              <w:spacing w:before="60" w:after="60"/>
              <w:ind w:left="0"/>
              <w:contextualSpacing w:val="0"/>
              <w:jc w:val="center"/>
              <w:rPr>
                <w:rFonts w:ascii="Times New Roman" w:hAnsi="Times New Roman" w:cs="Times New Roman"/>
                <w:b/>
                <w:sz w:val="28"/>
                <w:szCs w:val="28"/>
                <w:lang w:val="uk-UA"/>
              </w:rPr>
            </w:pPr>
            <w:r w:rsidRPr="008F25EC">
              <w:rPr>
                <w:rFonts w:ascii="Times New Roman" w:hAnsi="Times New Roman" w:cs="Times New Roman"/>
                <w:b/>
                <w:sz w:val="28"/>
                <w:szCs w:val="28"/>
                <w:lang w:val="uk-UA"/>
              </w:rPr>
              <w:t>С</w:t>
            </w:r>
          </w:p>
        </w:tc>
      </w:tr>
    </w:tbl>
    <w:p w14:paraId="7701C7CF" w14:textId="2E37A925" w:rsidR="00316C5C" w:rsidRPr="008F25EC" w:rsidRDefault="00316C5C" w:rsidP="008F25EC">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4622820A" w14:textId="1E9BD782" w:rsidR="00E97D08" w:rsidRPr="008F25EC" w:rsidRDefault="002A5196"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Аналіз ризику </w:t>
      </w:r>
      <w:r w:rsidR="00375C28" w:rsidRPr="008F25EC">
        <w:rPr>
          <w:rFonts w:ascii="Times New Roman" w:hAnsi="Times New Roman" w:cs="Times New Roman"/>
          <w:color w:val="000000"/>
          <w:sz w:val="28"/>
          <w:szCs w:val="28"/>
          <w:shd w:val="clear" w:color="auto" w:fill="FFFFFF"/>
          <w:lang w:val="uk-UA"/>
        </w:rPr>
        <w:t xml:space="preserve">(як імовірності, так </w:t>
      </w:r>
      <w:r w:rsidR="00EC2132" w:rsidRPr="008F25EC">
        <w:rPr>
          <w:rFonts w:ascii="Times New Roman" w:hAnsi="Times New Roman" w:cs="Times New Roman"/>
          <w:color w:val="000000"/>
          <w:sz w:val="28"/>
          <w:szCs w:val="28"/>
          <w:shd w:val="clear" w:color="auto" w:fill="FFFFFF"/>
          <w:lang w:val="uk-UA"/>
        </w:rPr>
        <w:t>і розміру втрат</w:t>
      </w:r>
      <w:r w:rsidR="00375C28" w:rsidRPr="008F25EC">
        <w:rPr>
          <w:rFonts w:ascii="Times New Roman" w:hAnsi="Times New Roman" w:cs="Times New Roman"/>
          <w:color w:val="000000"/>
          <w:sz w:val="28"/>
          <w:szCs w:val="28"/>
          <w:shd w:val="clear" w:color="auto" w:fill="FFFFFF"/>
          <w:lang w:val="uk-UA"/>
        </w:rPr>
        <w:t xml:space="preserve">) </w:t>
      </w:r>
      <w:r w:rsidR="00EC2132" w:rsidRPr="008F25EC">
        <w:rPr>
          <w:rFonts w:ascii="Times New Roman" w:hAnsi="Times New Roman" w:cs="Times New Roman"/>
          <w:color w:val="000000"/>
          <w:sz w:val="28"/>
          <w:szCs w:val="28"/>
          <w:shd w:val="clear" w:color="auto" w:fill="FFFFFF"/>
          <w:lang w:val="uk-UA"/>
        </w:rPr>
        <w:t>здійснюється</w:t>
      </w:r>
      <w:r w:rsidR="00E05024" w:rsidRPr="008F25EC">
        <w:rPr>
          <w:rFonts w:ascii="Times New Roman" w:hAnsi="Times New Roman" w:cs="Times New Roman"/>
          <w:color w:val="000000"/>
          <w:sz w:val="28"/>
          <w:szCs w:val="28"/>
          <w:shd w:val="clear" w:color="auto" w:fill="FFFFFF"/>
          <w:lang w:val="uk-UA"/>
        </w:rPr>
        <w:t xml:space="preserve"> шляхом використання:</w:t>
      </w:r>
    </w:p>
    <w:p w14:paraId="34E39C77" w14:textId="3E1EF4E8" w:rsidR="00E97D08" w:rsidRPr="008F25EC" w:rsidRDefault="00E05024"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кількі</w:t>
      </w:r>
      <w:r w:rsidR="00A608CB" w:rsidRPr="008F25EC">
        <w:rPr>
          <w:rFonts w:ascii="Times New Roman" w:hAnsi="Times New Roman" w:cs="Times New Roman"/>
          <w:color w:val="000000"/>
          <w:sz w:val="28"/>
          <w:szCs w:val="28"/>
          <w:shd w:val="clear" w:color="auto" w:fill="FFFFFF"/>
          <w:lang w:val="uk-UA"/>
        </w:rPr>
        <w:t>сних методів оцінки (</w:t>
      </w:r>
      <w:proofErr w:type="spellStart"/>
      <w:r w:rsidR="00A608CB" w:rsidRPr="008F25EC">
        <w:rPr>
          <w:rFonts w:ascii="Times New Roman" w:hAnsi="Times New Roman" w:cs="Times New Roman"/>
          <w:color w:val="000000"/>
          <w:sz w:val="28"/>
          <w:szCs w:val="28"/>
          <w:shd w:val="clear" w:color="auto" w:fill="FFFFFF"/>
          <w:lang w:val="uk-UA"/>
        </w:rPr>
        <w:t>пріоритетно</w:t>
      </w:r>
      <w:proofErr w:type="spellEnd"/>
      <w:r w:rsidRPr="008F25EC">
        <w:rPr>
          <w:rFonts w:ascii="Times New Roman" w:hAnsi="Times New Roman" w:cs="Times New Roman"/>
          <w:color w:val="000000"/>
          <w:sz w:val="28"/>
          <w:szCs w:val="28"/>
          <w:shd w:val="clear" w:color="auto" w:fill="FFFFFF"/>
          <w:lang w:val="uk-UA"/>
        </w:rPr>
        <w:t>);</w:t>
      </w:r>
    </w:p>
    <w:p w14:paraId="1AF64B1D" w14:textId="35FC16B3" w:rsidR="00E97D08" w:rsidRPr="008F25EC" w:rsidRDefault="00E05024"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якісні методи оцінки;</w:t>
      </w:r>
    </w:p>
    <w:p w14:paraId="75AC4EC1" w14:textId="419642FF" w:rsidR="00E97D08" w:rsidRPr="008F25EC" w:rsidRDefault="003A6178"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або їх можливі поєднання (</w:t>
      </w:r>
      <w:proofErr w:type="spellStart"/>
      <w:r w:rsidR="00E05024" w:rsidRPr="008F25EC">
        <w:rPr>
          <w:rFonts w:ascii="Times New Roman" w:hAnsi="Times New Roman" w:cs="Times New Roman"/>
          <w:color w:val="000000"/>
          <w:sz w:val="28"/>
          <w:szCs w:val="28"/>
          <w:shd w:val="clear" w:color="auto" w:fill="FFFFFF"/>
          <w:lang w:val="uk-UA"/>
        </w:rPr>
        <w:t>напівкількісні</w:t>
      </w:r>
      <w:proofErr w:type="spellEnd"/>
      <w:r w:rsidR="00E05024" w:rsidRPr="008F25EC">
        <w:rPr>
          <w:rFonts w:ascii="Times New Roman" w:hAnsi="Times New Roman" w:cs="Times New Roman"/>
          <w:color w:val="000000"/>
          <w:sz w:val="28"/>
          <w:szCs w:val="28"/>
          <w:shd w:val="clear" w:color="auto" w:fill="FFFFFF"/>
          <w:lang w:val="uk-UA"/>
        </w:rPr>
        <w:t xml:space="preserve"> методи</w:t>
      </w:r>
      <w:r w:rsidRPr="008F25EC">
        <w:rPr>
          <w:rFonts w:ascii="Times New Roman" w:hAnsi="Times New Roman" w:cs="Times New Roman"/>
          <w:color w:val="000000"/>
          <w:sz w:val="28"/>
          <w:szCs w:val="28"/>
          <w:shd w:val="clear" w:color="auto" w:fill="FFFFFF"/>
          <w:lang w:val="uk-UA"/>
        </w:rPr>
        <w:t>).</w:t>
      </w:r>
    </w:p>
    <w:p w14:paraId="6E563D4B" w14:textId="3F439F06" w:rsidR="00E97D08" w:rsidRPr="008F25EC" w:rsidRDefault="00BA1583"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Для аналізу імовірності виникнення негативних наслідків рекомендовано використовувати</w:t>
      </w:r>
      <w:r w:rsidR="006D207C" w:rsidRPr="008F25EC">
        <w:rPr>
          <w:rFonts w:ascii="Times New Roman" w:hAnsi="Times New Roman" w:cs="Times New Roman"/>
          <w:color w:val="000000"/>
          <w:sz w:val="28"/>
          <w:szCs w:val="28"/>
          <w:shd w:val="clear" w:color="auto" w:fill="FFFFFF"/>
          <w:lang w:val="uk-UA"/>
        </w:rPr>
        <w:t xml:space="preserve">, додатково до джерел, вказаних в пункті </w:t>
      </w:r>
      <w:r w:rsidR="006D207C" w:rsidRPr="008F25EC">
        <w:rPr>
          <w:rFonts w:ascii="Times New Roman" w:hAnsi="Times New Roman" w:cs="Times New Roman"/>
          <w:color w:val="000000"/>
          <w:sz w:val="28"/>
          <w:szCs w:val="28"/>
          <w:shd w:val="clear" w:color="auto" w:fill="FFFFFF"/>
          <w:lang w:val="uk-UA"/>
        </w:rPr>
        <w:fldChar w:fldCharType="begin"/>
      </w:r>
      <w:r w:rsidR="006D207C" w:rsidRPr="008F25EC">
        <w:rPr>
          <w:rFonts w:ascii="Times New Roman" w:hAnsi="Times New Roman" w:cs="Times New Roman"/>
          <w:color w:val="000000"/>
          <w:sz w:val="28"/>
          <w:szCs w:val="28"/>
          <w:shd w:val="clear" w:color="auto" w:fill="FFFFFF"/>
          <w:lang w:val="uk-UA"/>
        </w:rPr>
        <w:instrText xml:space="preserve"> REF _Ref476066280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6D207C" w:rsidRPr="008F25EC">
        <w:rPr>
          <w:rFonts w:ascii="Times New Roman" w:hAnsi="Times New Roman" w:cs="Times New Roman"/>
          <w:color w:val="000000"/>
          <w:sz w:val="28"/>
          <w:szCs w:val="28"/>
          <w:shd w:val="clear" w:color="auto" w:fill="FFFFFF"/>
          <w:lang w:val="uk-UA"/>
        </w:rPr>
      </w:r>
      <w:r w:rsidR="006D207C" w:rsidRPr="008F25EC">
        <w:rPr>
          <w:rFonts w:ascii="Times New Roman" w:hAnsi="Times New Roman" w:cs="Times New Roman"/>
          <w:color w:val="000000"/>
          <w:sz w:val="28"/>
          <w:szCs w:val="28"/>
          <w:shd w:val="clear" w:color="auto" w:fill="FFFFFF"/>
          <w:lang w:val="uk-UA"/>
        </w:rPr>
        <w:fldChar w:fldCharType="separate"/>
      </w:r>
      <w:r w:rsidR="006D207C" w:rsidRPr="008F25EC">
        <w:rPr>
          <w:rFonts w:ascii="Times New Roman" w:hAnsi="Times New Roman" w:cs="Times New Roman"/>
          <w:color w:val="000000"/>
          <w:sz w:val="28"/>
          <w:szCs w:val="28"/>
          <w:shd w:val="clear" w:color="auto" w:fill="FFFFFF"/>
          <w:lang w:val="uk-UA"/>
        </w:rPr>
        <w:t>15</w:t>
      </w:r>
      <w:r w:rsidR="006D207C" w:rsidRPr="008F25EC">
        <w:rPr>
          <w:rFonts w:ascii="Times New Roman" w:hAnsi="Times New Roman" w:cs="Times New Roman"/>
          <w:color w:val="000000"/>
          <w:sz w:val="28"/>
          <w:szCs w:val="28"/>
          <w:shd w:val="clear" w:color="auto" w:fill="FFFFFF"/>
          <w:lang w:val="uk-UA"/>
        </w:rPr>
        <w:fldChar w:fldCharType="end"/>
      </w:r>
      <w:r w:rsidR="006D207C" w:rsidRPr="008F25EC">
        <w:rPr>
          <w:rFonts w:ascii="Times New Roman" w:hAnsi="Times New Roman" w:cs="Times New Roman"/>
          <w:color w:val="000000"/>
          <w:sz w:val="28"/>
          <w:szCs w:val="28"/>
          <w:shd w:val="clear" w:color="auto" w:fill="FFFFFF"/>
          <w:lang w:val="uk-UA"/>
        </w:rPr>
        <w:t>, слід застосовувати</w:t>
      </w:r>
      <w:r w:rsidRPr="008F25EC">
        <w:rPr>
          <w:rFonts w:ascii="Times New Roman" w:hAnsi="Times New Roman" w:cs="Times New Roman"/>
          <w:color w:val="000000"/>
          <w:sz w:val="28"/>
          <w:szCs w:val="28"/>
          <w:shd w:val="clear" w:color="auto" w:fill="FFFFFF"/>
          <w:lang w:val="uk-UA"/>
        </w:rPr>
        <w:t>:</w:t>
      </w:r>
    </w:p>
    <w:p w14:paraId="7D7A57C2" w14:textId="3299ED67" w:rsidR="00E97D08" w:rsidRPr="008F25EC" w:rsidRDefault="00BA1583"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статистичні дані щодо аварійності, надійності обладнання чи систем, що використовуються при здійсненні діяльності, яка підлягає нагляду (контролю);</w:t>
      </w:r>
    </w:p>
    <w:p w14:paraId="5985B4DF" w14:textId="596ECAFE" w:rsidR="00E97D08" w:rsidRPr="008F25EC" w:rsidRDefault="00BA1583"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аналіз дерева подій</w:t>
      </w:r>
      <w:r w:rsidR="00AE427B" w:rsidRPr="008F25EC">
        <w:rPr>
          <w:rFonts w:ascii="Times New Roman" w:hAnsi="Times New Roman" w:cs="Times New Roman"/>
          <w:color w:val="000000"/>
          <w:sz w:val="28"/>
          <w:szCs w:val="28"/>
          <w:shd w:val="clear" w:color="auto" w:fill="FFFFFF"/>
          <w:lang w:val="uk-UA"/>
        </w:rPr>
        <w:t xml:space="preserve"> або аналіз дерева відмов обладнання</w:t>
      </w:r>
      <w:r w:rsidRPr="008F25EC">
        <w:rPr>
          <w:rFonts w:ascii="Times New Roman" w:hAnsi="Times New Roman" w:cs="Times New Roman"/>
          <w:color w:val="000000"/>
          <w:sz w:val="28"/>
          <w:szCs w:val="28"/>
          <w:shd w:val="clear" w:color="auto" w:fill="FFFFFF"/>
          <w:lang w:val="uk-UA"/>
        </w:rPr>
        <w:t>;</w:t>
      </w:r>
    </w:p>
    <w:p w14:paraId="7978B18A" w14:textId="451CFE30" w:rsidR="00E97D08" w:rsidRPr="008F25EC" w:rsidRDefault="00BA1583"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експертні спеці</w:t>
      </w:r>
      <w:r w:rsidR="006D207C" w:rsidRPr="008F25EC">
        <w:rPr>
          <w:rFonts w:ascii="Times New Roman" w:hAnsi="Times New Roman" w:cs="Times New Roman"/>
          <w:color w:val="000000"/>
          <w:sz w:val="28"/>
          <w:szCs w:val="28"/>
          <w:shd w:val="clear" w:color="auto" w:fill="FFFFFF"/>
          <w:lang w:val="uk-UA"/>
        </w:rPr>
        <w:t>альні знання щодо аварійності та травматизму, що характерні для діяльності, яка підлягає державному нагляду (контролю).</w:t>
      </w:r>
    </w:p>
    <w:p w14:paraId="263FF5DE" w14:textId="1A2DCCBE" w:rsidR="00E97D08" w:rsidRPr="008F25EC" w:rsidRDefault="006D207C"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Для аналізу можливого розміру втрат від виникнення негативних наслідків встановлюються розмір мож</w:t>
      </w:r>
      <w:r w:rsidR="001433AD" w:rsidRPr="008F25EC">
        <w:rPr>
          <w:rFonts w:ascii="Times New Roman" w:hAnsi="Times New Roman" w:cs="Times New Roman"/>
          <w:color w:val="000000"/>
          <w:sz w:val="28"/>
          <w:szCs w:val="28"/>
          <w:shd w:val="clear" w:color="auto" w:fill="FFFFFF"/>
          <w:lang w:val="uk-UA"/>
        </w:rPr>
        <w:t>ливого їх</w:t>
      </w:r>
      <w:r w:rsidRPr="008F25EC">
        <w:rPr>
          <w:rFonts w:ascii="Times New Roman" w:hAnsi="Times New Roman" w:cs="Times New Roman"/>
          <w:color w:val="000000"/>
          <w:sz w:val="28"/>
          <w:szCs w:val="28"/>
          <w:shd w:val="clear" w:color="auto" w:fill="FFFFFF"/>
          <w:lang w:val="uk-UA"/>
        </w:rPr>
        <w:t xml:space="preserve"> вплив</w:t>
      </w:r>
      <w:r w:rsidR="001433AD" w:rsidRPr="008F25EC">
        <w:rPr>
          <w:rFonts w:ascii="Times New Roman" w:hAnsi="Times New Roman" w:cs="Times New Roman"/>
          <w:color w:val="000000"/>
          <w:sz w:val="28"/>
          <w:szCs w:val="28"/>
          <w:shd w:val="clear" w:color="auto" w:fill="FFFFFF"/>
          <w:lang w:val="uk-UA"/>
        </w:rPr>
        <w:t>у</w:t>
      </w:r>
      <w:r w:rsidRPr="008F25EC">
        <w:rPr>
          <w:rFonts w:ascii="Times New Roman" w:hAnsi="Times New Roman" w:cs="Times New Roman"/>
          <w:color w:val="000000"/>
          <w:sz w:val="28"/>
          <w:szCs w:val="28"/>
          <w:shd w:val="clear" w:color="auto" w:fill="FFFFFF"/>
          <w:lang w:val="uk-UA"/>
        </w:rPr>
        <w:t xml:space="preserve"> на людей, майно та (або) навколишнє середовище.</w:t>
      </w:r>
    </w:p>
    <w:p w14:paraId="7EC80D80" w14:textId="26D7EC0E" w:rsidR="00E97D08" w:rsidRPr="008F25EC" w:rsidRDefault="00753B9B"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При цьому також здійснюється:</w:t>
      </w:r>
    </w:p>
    <w:p w14:paraId="5BBAEF1E" w14:textId="1FC54005" w:rsidR="00E97D08" w:rsidRPr="008F25EC" w:rsidRDefault="00753B9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оцінка фізичних наслідків подій (руйнування технічних конструкцій, будівель, споруд, пожежі, вибухи, викиди токсичних речовин);</w:t>
      </w:r>
    </w:p>
    <w:p w14:paraId="2D744969" w14:textId="42653C50" w:rsidR="00E97D08" w:rsidRPr="008F25EC" w:rsidRDefault="00753B9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уточнення об’єктів, що можуть зазнати впливу вражаючих факторів;</w:t>
      </w:r>
    </w:p>
    <w:p w14:paraId="6131101E" w14:textId="44235C36" w:rsidR="00E97D08" w:rsidRPr="008F25EC" w:rsidRDefault="00753B9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встановлення осіб або груп людей, що можуть постраждати</w:t>
      </w:r>
      <w:r w:rsidR="00AE1131" w:rsidRPr="008F25EC">
        <w:rPr>
          <w:rFonts w:ascii="Times New Roman" w:hAnsi="Times New Roman" w:cs="Times New Roman"/>
          <w:color w:val="000000"/>
          <w:sz w:val="28"/>
          <w:szCs w:val="28"/>
          <w:shd w:val="clear" w:color="auto" w:fill="FFFFFF"/>
          <w:lang w:val="uk-UA"/>
        </w:rPr>
        <w:t xml:space="preserve"> від небезпечної ситуації</w:t>
      </w:r>
      <w:r w:rsidRPr="008F25EC">
        <w:rPr>
          <w:rFonts w:ascii="Times New Roman" w:hAnsi="Times New Roman" w:cs="Times New Roman"/>
          <w:color w:val="000000"/>
          <w:sz w:val="28"/>
          <w:szCs w:val="28"/>
          <w:shd w:val="clear" w:color="auto" w:fill="FFFFFF"/>
          <w:lang w:val="uk-UA"/>
        </w:rPr>
        <w:t>.</w:t>
      </w:r>
    </w:p>
    <w:p w14:paraId="324439F9" w14:textId="4ECFC4EA" w:rsidR="00E97D08" w:rsidRPr="008F25EC" w:rsidRDefault="001433AD"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 результаті аналізу ризику будуть виявлені кількісні та якісні показники, що впливають на ступінь небезпеки. Для того, щоб переконат</w:t>
      </w:r>
      <w:r w:rsidR="00765F11" w:rsidRPr="008F25EC">
        <w:rPr>
          <w:rFonts w:ascii="Times New Roman" w:hAnsi="Times New Roman" w:cs="Times New Roman"/>
          <w:color w:val="000000"/>
          <w:sz w:val="28"/>
          <w:szCs w:val="28"/>
          <w:shd w:val="clear" w:color="auto" w:fill="FFFFFF"/>
          <w:lang w:val="uk-UA"/>
        </w:rPr>
        <w:t xml:space="preserve">ися, що ці показники були </w:t>
      </w:r>
      <w:r w:rsidRPr="008F25EC">
        <w:rPr>
          <w:rFonts w:ascii="Times New Roman" w:hAnsi="Times New Roman" w:cs="Times New Roman"/>
          <w:color w:val="000000"/>
          <w:sz w:val="28"/>
          <w:szCs w:val="28"/>
          <w:shd w:val="clear" w:color="auto" w:fill="FFFFFF"/>
          <w:lang w:val="uk-UA"/>
        </w:rPr>
        <w:t>визначен</w:t>
      </w:r>
      <w:r w:rsidR="00765F11" w:rsidRPr="008F25EC">
        <w:rPr>
          <w:rFonts w:ascii="Times New Roman" w:hAnsi="Times New Roman" w:cs="Times New Roman"/>
          <w:color w:val="000000"/>
          <w:sz w:val="28"/>
          <w:szCs w:val="28"/>
          <w:shd w:val="clear" w:color="auto" w:fill="FFFFFF"/>
          <w:lang w:val="uk-UA"/>
        </w:rPr>
        <w:t>і</w:t>
      </w:r>
      <w:r w:rsidRPr="008F25EC">
        <w:rPr>
          <w:rFonts w:ascii="Times New Roman" w:hAnsi="Times New Roman" w:cs="Times New Roman"/>
          <w:color w:val="000000"/>
          <w:sz w:val="28"/>
          <w:szCs w:val="28"/>
          <w:shd w:val="clear" w:color="auto" w:fill="FFFFFF"/>
          <w:lang w:val="uk-UA"/>
        </w:rPr>
        <w:t xml:space="preserve"> </w:t>
      </w:r>
      <w:proofErr w:type="spellStart"/>
      <w:r w:rsidRPr="008F25EC">
        <w:rPr>
          <w:rFonts w:ascii="Times New Roman" w:hAnsi="Times New Roman" w:cs="Times New Roman"/>
          <w:color w:val="000000"/>
          <w:sz w:val="28"/>
          <w:szCs w:val="28"/>
          <w:shd w:val="clear" w:color="auto" w:fill="FFFFFF"/>
          <w:lang w:val="uk-UA"/>
        </w:rPr>
        <w:t>коректно</w:t>
      </w:r>
      <w:proofErr w:type="spellEnd"/>
      <w:r w:rsidRPr="008F25EC">
        <w:rPr>
          <w:rFonts w:ascii="Times New Roman" w:hAnsi="Times New Roman" w:cs="Times New Roman"/>
          <w:color w:val="000000"/>
          <w:sz w:val="28"/>
          <w:szCs w:val="28"/>
          <w:shd w:val="clear" w:color="auto" w:fill="FFFFFF"/>
          <w:lang w:val="uk-UA"/>
        </w:rPr>
        <w:t xml:space="preserve">, органу державного нагляду (контролю) рекомендовано провести аналіз </w:t>
      </w:r>
      <w:proofErr w:type="spellStart"/>
      <w:r w:rsidRPr="008F25EC">
        <w:rPr>
          <w:rFonts w:ascii="Times New Roman" w:hAnsi="Times New Roman" w:cs="Times New Roman"/>
          <w:color w:val="000000"/>
          <w:sz w:val="28"/>
          <w:szCs w:val="28"/>
          <w:shd w:val="clear" w:color="auto" w:fill="FFFFFF"/>
          <w:lang w:val="uk-UA"/>
        </w:rPr>
        <w:t>невизначеностей</w:t>
      </w:r>
      <w:proofErr w:type="spellEnd"/>
      <w:r w:rsidRPr="008F25EC">
        <w:rPr>
          <w:rFonts w:ascii="Times New Roman" w:hAnsi="Times New Roman" w:cs="Times New Roman"/>
          <w:color w:val="000000"/>
          <w:sz w:val="28"/>
          <w:szCs w:val="28"/>
          <w:shd w:val="clear" w:color="auto" w:fill="FFFFFF"/>
          <w:lang w:val="uk-UA"/>
        </w:rPr>
        <w:t xml:space="preserve"> та достовірності отриманих результатів, зокрема впливу початкових даних на розраховані показники ризику.</w:t>
      </w:r>
    </w:p>
    <w:p w14:paraId="7E70CE95" w14:textId="184BC656" w:rsidR="00E97D08" w:rsidRPr="008F25EC" w:rsidRDefault="001B05F9"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Для </w:t>
      </w:r>
      <w:r w:rsidR="00AE427B" w:rsidRPr="008F25EC">
        <w:rPr>
          <w:rFonts w:ascii="Times New Roman" w:hAnsi="Times New Roman" w:cs="Times New Roman"/>
          <w:color w:val="000000"/>
          <w:sz w:val="28"/>
          <w:szCs w:val="28"/>
          <w:shd w:val="clear" w:color="auto" w:fill="FFFFFF"/>
          <w:lang w:val="uk-UA"/>
        </w:rPr>
        <w:t xml:space="preserve">визначення критеріїв, за якими органу державного нагляду (контролю) оцінюватиме ступінь ризику, виявлені кількісні та якісні показники слід </w:t>
      </w:r>
      <w:proofErr w:type="spellStart"/>
      <w:r w:rsidR="00AE427B" w:rsidRPr="008F25EC">
        <w:rPr>
          <w:rFonts w:ascii="Times New Roman" w:hAnsi="Times New Roman" w:cs="Times New Roman"/>
          <w:color w:val="000000"/>
          <w:sz w:val="28"/>
          <w:szCs w:val="28"/>
          <w:shd w:val="clear" w:color="auto" w:fill="FFFFFF"/>
          <w:lang w:val="uk-UA"/>
        </w:rPr>
        <w:t>проранжувати</w:t>
      </w:r>
      <w:proofErr w:type="spellEnd"/>
      <w:r w:rsidR="00AE427B" w:rsidRPr="008F25EC">
        <w:rPr>
          <w:rFonts w:ascii="Times New Roman" w:hAnsi="Times New Roman" w:cs="Times New Roman"/>
          <w:color w:val="000000"/>
          <w:sz w:val="28"/>
          <w:szCs w:val="28"/>
          <w:shd w:val="clear" w:color="auto" w:fill="FFFFFF"/>
          <w:lang w:val="uk-UA"/>
        </w:rPr>
        <w:t xml:space="preserve"> </w:t>
      </w:r>
      <w:r w:rsidR="00765F11" w:rsidRPr="008F25EC">
        <w:rPr>
          <w:rFonts w:ascii="Times New Roman" w:hAnsi="Times New Roman" w:cs="Times New Roman"/>
          <w:color w:val="000000"/>
          <w:sz w:val="28"/>
          <w:szCs w:val="28"/>
          <w:shd w:val="clear" w:color="auto" w:fill="FFFFFF"/>
          <w:lang w:val="uk-UA"/>
        </w:rPr>
        <w:t>в порядку зростання</w:t>
      </w:r>
      <w:r w:rsidR="00AE427B" w:rsidRPr="008F25EC">
        <w:rPr>
          <w:rFonts w:ascii="Times New Roman" w:hAnsi="Times New Roman" w:cs="Times New Roman"/>
          <w:color w:val="000000"/>
          <w:sz w:val="28"/>
          <w:szCs w:val="28"/>
          <w:shd w:val="clear" w:color="auto" w:fill="FFFFFF"/>
          <w:lang w:val="uk-UA"/>
        </w:rPr>
        <w:t xml:space="preserve"> залежно від їх впливу на імовірність виникнення негативних наслідків та розмір втрат від їх настання.</w:t>
      </w:r>
    </w:p>
    <w:p w14:paraId="48B2351F" w14:textId="7F448E6D" w:rsidR="00E97D08" w:rsidRPr="008F25EC" w:rsidRDefault="00AE1131"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З </w:t>
      </w:r>
      <w:r w:rsidR="00F7368A" w:rsidRPr="008F25EC">
        <w:rPr>
          <w:rFonts w:ascii="Times New Roman" w:hAnsi="Times New Roman" w:cs="Times New Roman"/>
          <w:color w:val="000000"/>
          <w:sz w:val="28"/>
          <w:szCs w:val="28"/>
          <w:shd w:val="clear" w:color="auto" w:fill="FFFFFF"/>
          <w:lang w:val="uk-UA"/>
        </w:rPr>
        <w:t xml:space="preserve">кількісних та якісних </w:t>
      </w:r>
      <w:r w:rsidRPr="008F25EC">
        <w:rPr>
          <w:rFonts w:ascii="Times New Roman" w:hAnsi="Times New Roman" w:cs="Times New Roman"/>
          <w:color w:val="000000"/>
          <w:sz w:val="28"/>
          <w:szCs w:val="28"/>
          <w:shd w:val="clear" w:color="auto" w:fill="FFFFFF"/>
          <w:lang w:val="uk-UA"/>
        </w:rPr>
        <w:t>показників</w:t>
      </w:r>
      <w:r w:rsidR="009171EF" w:rsidRPr="008F25EC">
        <w:rPr>
          <w:rFonts w:ascii="Times New Roman" w:hAnsi="Times New Roman" w:cs="Times New Roman"/>
          <w:color w:val="000000"/>
          <w:sz w:val="28"/>
          <w:szCs w:val="28"/>
          <w:shd w:val="clear" w:color="auto" w:fill="FFFFFF"/>
          <w:lang w:val="uk-UA"/>
        </w:rPr>
        <w:t xml:space="preserve"> орган державного нагляду (контролю) обирає критерії, за якими встановлюватиме ступінь ризику суб’єктів господарювання.</w:t>
      </w:r>
    </w:p>
    <w:p w14:paraId="77ACBE00" w14:textId="48DC0316" w:rsidR="00E97D08" w:rsidRPr="008F25EC" w:rsidRDefault="0037258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Основні п</w:t>
      </w:r>
      <w:r w:rsidR="000F0A07" w:rsidRPr="008F25EC">
        <w:rPr>
          <w:rFonts w:ascii="Times New Roman" w:hAnsi="Times New Roman" w:cs="Times New Roman"/>
          <w:color w:val="000000"/>
          <w:sz w:val="28"/>
          <w:szCs w:val="28"/>
          <w:shd w:val="clear" w:color="auto" w:fill="FFFFFF"/>
          <w:lang w:val="uk-UA"/>
        </w:rPr>
        <w:t>омилки, яких слід уникати</w:t>
      </w:r>
      <w:r w:rsidRPr="008F25EC">
        <w:rPr>
          <w:rFonts w:ascii="Times New Roman" w:hAnsi="Times New Roman" w:cs="Times New Roman"/>
          <w:color w:val="000000"/>
          <w:sz w:val="28"/>
          <w:szCs w:val="28"/>
          <w:shd w:val="clear" w:color="auto" w:fill="FFFFFF"/>
          <w:lang w:val="uk-UA"/>
        </w:rPr>
        <w:t xml:space="preserve"> </w:t>
      </w:r>
      <w:r w:rsidR="00765F11" w:rsidRPr="008F25EC">
        <w:rPr>
          <w:rFonts w:ascii="Times New Roman" w:hAnsi="Times New Roman" w:cs="Times New Roman"/>
          <w:color w:val="000000"/>
          <w:sz w:val="28"/>
          <w:szCs w:val="28"/>
          <w:shd w:val="clear" w:color="auto" w:fill="FFFFFF"/>
          <w:lang w:val="uk-UA"/>
        </w:rPr>
        <w:t>при аналізі ризику:</w:t>
      </w:r>
    </w:p>
    <w:p w14:paraId="3901FABD" w14:textId="3380BFF1" w:rsidR="00E97D08" w:rsidRPr="008F25EC" w:rsidRDefault="006C3D84"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занадто</w:t>
      </w:r>
      <w:r w:rsidR="0055778A" w:rsidRPr="008F25EC">
        <w:rPr>
          <w:rFonts w:ascii="Times New Roman" w:hAnsi="Times New Roman" w:cs="Times New Roman"/>
          <w:color w:val="000000"/>
          <w:sz w:val="28"/>
          <w:szCs w:val="28"/>
          <w:shd w:val="clear" w:color="auto" w:fill="FFFFFF"/>
          <w:lang w:val="uk-UA"/>
        </w:rPr>
        <w:t xml:space="preserve"> широкі цілі нагляду (контролю)</w:t>
      </w:r>
      <w:r w:rsidR="00DF3655" w:rsidRPr="008F25EC">
        <w:rPr>
          <w:rFonts w:ascii="Times New Roman" w:hAnsi="Times New Roman" w:cs="Times New Roman"/>
          <w:color w:val="000000"/>
          <w:sz w:val="28"/>
          <w:szCs w:val="28"/>
          <w:shd w:val="clear" w:color="auto" w:fill="FFFFFF"/>
          <w:lang w:val="uk-UA"/>
        </w:rPr>
        <w:t xml:space="preserve">: органам державного нагляду (контролю) </w:t>
      </w:r>
      <w:r w:rsidR="0055778A" w:rsidRPr="008F25EC">
        <w:rPr>
          <w:rFonts w:ascii="Times New Roman" w:hAnsi="Times New Roman" w:cs="Times New Roman"/>
          <w:color w:val="000000"/>
          <w:sz w:val="28"/>
          <w:szCs w:val="28"/>
          <w:shd w:val="clear" w:color="auto" w:fill="FFFFFF"/>
          <w:lang w:val="uk-UA"/>
        </w:rPr>
        <w:t>варто</w:t>
      </w:r>
      <w:r w:rsidR="00E4174C" w:rsidRPr="008F25EC">
        <w:rPr>
          <w:rFonts w:ascii="Times New Roman" w:hAnsi="Times New Roman" w:cs="Times New Roman"/>
          <w:color w:val="000000"/>
          <w:sz w:val="28"/>
          <w:szCs w:val="28"/>
          <w:shd w:val="clear" w:color="auto" w:fill="FFFFFF"/>
          <w:lang w:val="uk-UA"/>
        </w:rPr>
        <w:t xml:space="preserve"> визначити</w:t>
      </w:r>
      <w:r w:rsidR="00702D71" w:rsidRPr="008F25EC">
        <w:rPr>
          <w:rFonts w:ascii="Times New Roman" w:hAnsi="Times New Roman" w:cs="Times New Roman"/>
          <w:color w:val="000000"/>
          <w:sz w:val="28"/>
          <w:szCs w:val="28"/>
          <w:shd w:val="clear" w:color="auto" w:fill="FFFFFF"/>
          <w:lang w:val="uk-UA"/>
        </w:rPr>
        <w:t xml:space="preserve"> </w:t>
      </w:r>
      <w:r w:rsidR="00A9157F" w:rsidRPr="008F25EC">
        <w:rPr>
          <w:rFonts w:ascii="Times New Roman" w:hAnsi="Times New Roman" w:cs="Times New Roman"/>
          <w:color w:val="000000"/>
          <w:sz w:val="28"/>
          <w:szCs w:val="28"/>
          <w:shd w:val="clear" w:color="auto" w:fill="FFFFFF"/>
          <w:lang w:val="uk-UA"/>
        </w:rPr>
        <w:t xml:space="preserve">основні </w:t>
      </w:r>
      <w:r w:rsidR="00702D71" w:rsidRPr="008F25EC">
        <w:rPr>
          <w:rFonts w:ascii="Times New Roman" w:hAnsi="Times New Roman" w:cs="Times New Roman"/>
          <w:color w:val="000000"/>
          <w:sz w:val="28"/>
          <w:szCs w:val="28"/>
          <w:shd w:val="clear" w:color="auto" w:fill="FFFFFF"/>
          <w:lang w:val="uk-UA"/>
        </w:rPr>
        <w:t>позитивні наслід</w:t>
      </w:r>
      <w:r w:rsidR="00E4174C" w:rsidRPr="008F25EC">
        <w:rPr>
          <w:rFonts w:ascii="Times New Roman" w:hAnsi="Times New Roman" w:cs="Times New Roman"/>
          <w:color w:val="000000"/>
          <w:sz w:val="28"/>
          <w:szCs w:val="28"/>
          <w:shd w:val="clear" w:color="auto" w:fill="FFFFFF"/>
          <w:lang w:val="uk-UA"/>
        </w:rPr>
        <w:t>к</w:t>
      </w:r>
      <w:r w:rsidR="00702D71" w:rsidRPr="008F25EC">
        <w:rPr>
          <w:rFonts w:ascii="Times New Roman" w:hAnsi="Times New Roman" w:cs="Times New Roman"/>
          <w:color w:val="000000"/>
          <w:sz w:val="28"/>
          <w:szCs w:val="28"/>
          <w:shd w:val="clear" w:color="auto" w:fill="FFFFFF"/>
          <w:lang w:val="uk-UA"/>
        </w:rPr>
        <w:t>и</w:t>
      </w:r>
      <w:r w:rsidR="00E4174C" w:rsidRPr="008F25EC">
        <w:rPr>
          <w:rFonts w:ascii="Times New Roman" w:hAnsi="Times New Roman" w:cs="Times New Roman"/>
          <w:color w:val="000000"/>
          <w:sz w:val="28"/>
          <w:szCs w:val="28"/>
          <w:shd w:val="clear" w:color="auto" w:fill="FFFFFF"/>
          <w:lang w:val="uk-UA"/>
        </w:rPr>
        <w:t xml:space="preserve">, </w:t>
      </w:r>
      <w:r w:rsidR="00702D71" w:rsidRPr="008F25EC">
        <w:rPr>
          <w:rFonts w:ascii="Times New Roman" w:hAnsi="Times New Roman" w:cs="Times New Roman"/>
          <w:color w:val="000000"/>
          <w:sz w:val="28"/>
          <w:szCs w:val="28"/>
          <w:shd w:val="clear" w:color="auto" w:fill="FFFFFF"/>
          <w:lang w:val="uk-UA"/>
        </w:rPr>
        <w:t>на досягнення яких спрямовані заходи державного нагляду (контролю). Наприклад, зменшення кількості нещасних випадків на виробництві або уникнення масов</w:t>
      </w:r>
      <w:r w:rsidR="00A9157F" w:rsidRPr="008F25EC">
        <w:rPr>
          <w:rFonts w:ascii="Times New Roman" w:hAnsi="Times New Roman" w:cs="Times New Roman"/>
          <w:color w:val="000000"/>
          <w:sz w:val="28"/>
          <w:szCs w:val="28"/>
          <w:shd w:val="clear" w:color="auto" w:fill="FFFFFF"/>
          <w:lang w:val="uk-UA"/>
        </w:rPr>
        <w:t xml:space="preserve">ого харчового отруєння. </w:t>
      </w:r>
      <w:r w:rsidR="00953196" w:rsidRPr="008F25EC">
        <w:rPr>
          <w:rFonts w:ascii="Times New Roman" w:hAnsi="Times New Roman" w:cs="Times New Roman"/>
          <w:color w:val="000000"/>
          <w:sz w:val="28"/>
          <w:szCs w:val="28"/>
          <w:shd w:val="clear" w:color="auto" w:fill="FFFFFF"/>
          <w:lang w:val="uk-UA"/>
        </w:rPr>
        <w:t xml:space="preserve">Таким чином, орган державного нагляду (контролю) визначає ключові ризики, </w:t>
      </w:r>
      <w:r w:rsidR="009171EF" w:rsidRPr="008F25EC">
        <w:rPr>
          <w:rFonts w:ascii="Times New Roman" w:hAnsi="Times New Roman" w:cs="Times New Roman"/>
          <w:color w:val="000000"/>
          <w:sz w:val="28"/>
          <w:szCs w:val="28"/>
          <w:shd w:val="clear" w:color="auto" w:fill="FFFFFF"/>
          <w:lang w:val="uk-UA"/>
        </w:rPr>
        <w:t>уникнення</w:t>
      </w:r>
      <w:r w:rsidR="00953196" w:rsidRPr="008F25EC">
        <w:rPr>
          <w:rFonts w:ascii="Times New Roman" w:hAnsi="Times New Roman" w:cs="Times New Roman"/>
          <w:color w:val="000000"/>
          <w:sz w:val="28"/>
          <w:szCs w:val="28"/>
          <w:shd w:val="clear" w:color="auto" w:fill="FFFFFF"/>
          <w:lang w:val="uk-UA"/>
        </w:rPr>
        <w:t xml:space="preserve"> яких є метою заходів державного нагляду (контролю).</w:t>
      </w:r>
    </w:p>
    <w:p w14:paraId="1BFCFE80" w14:textId="3EAB5FDF" w:rsidR="00E97D08" w:rsidRPr="008F25EC" w:rsidRDefault="00E96962"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надання </w:t>
      </w:r>
      <w:r w:rsidR="00F47CD9" w:rsidRPr="008F25EC">
        <w:rPr>
          <w:rFonts w:ascii="Times New Roman" w:hAnsi="Times New Roman" w:cs="Times New Roman"/>
          <w:color w:val="000000"/>
          <w:sz w:val="28"/>
          <w:szCs w:val="28"/>
          <w:shd w:val="clear" w:color="auto" w:fill="FFFFFF"/>
          <w:lang w:val="uk-UA"/>
        </w:rPr>
        <w:t>пріоритету</w:t>
      </w:r>
      <w:r w:rsidR="003B6521" w:rsidRPr="008F25EC">
        <w:rPr>
          <w:rFonts w:ascii="Times New Roman" w:hAnsi="Times New Roman" w:cs="Times New Roman"/>
          <w:color w:val="000000"/>
          <w:sz w:val="28"/>
          <w:szCs w:val="28"/>
          <w:shd w:val="clear" w:color="auto" w:fill="FFFFFF"/>
          <w:lang w:val="uk-UA"/>
        </w:rPr>
        <w:t xml:space="preserve"> обсягу діяльності, а не її видові</w:t>
      </w:r>
      <w:r w:rsidR="00F47CD9" w:rsidRPr="008F25EC">
        <w:rPr>
          <w:rFonts w:ascii="Times New Roman" w:hAnsi="Times New Roman" w:cs="Times New Roman"/>
          <w:color w:val="000000"/>
          <w:sz w:val="28"/>
          <w:szCs w:val="28"/>
          <w:shd w:val="clear" w:color="auto" w:fill="FFFFFF"/>
          <w:lang w:val="uk-UA"/>
        </w:rPr>
        <w:t>;</w:t>
      </w:r>
    </w:p>
    <w:p w14:paraId="53BC462C" w14:textId="73184FA0" w:rsidR="00E97D08" w:rsidRPr="008F25EC" w:rsidRDefault="00F47CD9"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занадто деталізован</w:t>
      </w:r>
      <w:r w:rsidR="003754A5" w:rsidRPr="008F25EC">
        <w:rPr>
          <w:rFonts w:ascii="Times New Roman" w:hAnsi="Times New Roman" w:cs="Times New Roman"/>
          <w:color w:val="000000"/>
          <w:sz w:val="28"/>
          <w:szCs w:val="28"/>
          <w:shd w:val="clear" w:color="auto" w:fill="FFFFFF"/>
          <w:lang w:val="uk-UA"/>
        </w:rPr>
        <w:t>і та технічно складні критерії, які можливо виявити лише в процесі детальної технічної перевірки</w:t>
      </w:r>
      <w:r w:rsidR="003B6521" w:rsidRPr="008F25EC">
        <w:rPr>
          <w:rFonts w:ascii="Times New Roman" w:hAnsi="Times New Roman" w:cs="Times New Roman"/>
          <w:color w:val="000000"/>
          <w:sz w:val="28"/>
          <w:szCs w:val="28"/>
          <w:shd w:val="clear" w:color="auto" w:fill="FFFFFF"/>
          <w:lang w:val="uk-UA"/>
        </w:rPr>
        <w:t xml:space="preserve"> на місцях</w:t>
      </w:r>
      <w:r w:rsidR="003754A5" w:rsidRPr="008F25EC">
        <w:rPr>
          <w:rFonts w:ascii="Times New Roman" w:hAnsi="Times New Roman" w:cs="Times New Roman"/>
          <w:color w:val="000000"/>
          <w:sz w:val="28"/>
          <w:szCs w:val="28"/>
          <w:shd w:val="clear" w:color="auto" w:fill="FFFFFF"/>
          <w:lang w:val="uk-UA"/>
        </w:rPr>
        <w:t>, при тому, що вони можуть характеризувати незначний аспект ризику;</w:t>
      </w:r>
    </w:p>
    <w:p w14:paraId="78DCDF5F" w14:textId="32CBA6C5" w:rsidR="00E97D08" w:rsidRPr="008F25EC" w:rsidRDefault="00655C2E"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наявність </w:t>
      </w:r>
      <w:r w:rsidR="00157749" w:rsidRPr="008F25EC">
        <w:rPr>
          <w:rFonts w:ascii="Times New Roman" w:hAnsi="Times New Roman" w:cs="Times New Roman"/>
          <w:color w:val="000000"/>
          <w:sz w:val="28"/>
          <w:szCs w:val="28"/>
          <w:shd w:val="clear" w:color="auto" w:fill="FFFFFF"/>
          <w:lang w:val="uk-UA"/>
        </w:rPr>
        <w:t>критерії</w:t>
      </w:r>
      <w:r w:rsidRPr="008F25EC">
        <w:rPr>
          <w:rFonts w:ascii="Times New Roman" w:hAnsi="Times New Roman" w:cs="Times New Roman"/>
          <w:color w:val="000000"/>
          <w:sz w:val="28"/>
          <w:szCs w:val="28"/>
          <w:shd w:val="clear" w:color="auto" w:fill="FFFFFF"/>
          <w:lang w:val="uk-UA"/>
        </w:rPr>
        <w:t>в</w:t>
      </w:r>
      <w:r w:rsidR="00157749" w:rsidRPr="008F25EC">
        <w:rPr>
          <w:rFonts w:ascii="Times New Roman" w:hAnsi="Times New Roman" w:cs="Times New Roman"/>
          <w:color w:val="000000"/>
          <w:sz w:val="28"/>
          <w:szCs w:val="28"/>
          <w:shd w:val="clear" w:color="auto" w:fill="FFFFFF"/>
          <w:lang w:val="uk-UA"/>
        </w:rPr>
        <w:t>, що</w:t>
      </w:r>
      <w:r w:rsidRPr="008F25EC">
        <w:rPr>
          <w:rFonts w:ascii="Times New Roman" w:hAnsi="Times New Roman" w:cs="Times New Roman"/>
          <w:color w:val="000000"/>
          <w:sz w:val="28"/>
          <w:szCs w:val="28"/>
          <w:shd w:val="clear" w:color="auto" w:fill="FFFFFF"/>
          <w:lang w:val="uk-UA"/>
        </w:rPr>
        <w:t xml:space="preserve"> потребують суб’єктивної оцінки </w:t>
      </w:r>
      <w:r w:rsidR="00157749" w:rsidRPr="008F25EC">
        <w:rPr>
          <w:rFonts w:ascii="Times New Roman" w:hAnsi="Times New Roman" w:cs="Times New Roman"/>
          <w:color w:val="000000"/>
          <w:sz w:val="28"/>
          <w:szCs w:val="28"/>
          <w:shd w:val="clear" w:color="auto" w:fill="FFFFFF"/>
          <w:lang w:val="uk-UA"/>
        </w:rPr>
        <w:t>(наприклад, стан будівлі);</w:t>
      </w:r>
    </w:p>
    <w:p w14:paraId="4C72341A" w14:textId="5528CD54" w:rsidR="00E97D08" w:rsidRPr="008F25EC" w:rsidRDefault="00BA7EA4"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надання </w:t>
      </w:r>
      <w:r w:rsidR="00EA4F66" w:rsidRPr="008F25EC">
        <w:rPr>
          <w:rFonts w:ascii="Times New Roman" w:hAnsi="Times New Roman" w:cs="Times New Roman"/>
          <w:color w:val="000000"/>
          <w:sz w:val="28"/>
          <w:szCs w:val="28"/>
          <w:shd w:val="clear" w:color="auto" w:fill="FFFFFF"/>
          <w:lang w:val="uk-UA"/>
        </w:rPr>
        <w:t xml:space="preserve">надмірного значення критерію дотримання законодавства, що приводить до ситуації, коли </w:t>
      </w:r>
      <w:r w:rsidR="00F2727E" w:rsidRPr="008F25EC">
        <w:rPr>
          <w:rFonts w:ascii="Times New Roman" w:hAnsi="Times New Roman" w:cs="Times New Roman"/>
          <w:color w:val="000000"/>
          <w:sz w:val="28"/>
          <w:szCs w:val="28"/>
          <w:shd w:val="clear" w:color="auto" w:fill="FFFFFF"/>
          <w:lang w:val="uk-UA"/>
        </w:rPr>
        <w:t xml:space="preserve">в підсумку </w:t>
      </w:r>
      <w:r w:rsidR="00EA4F66" w:rsidRPr="008F25EC">
        <w:rPr>
          <w:rFonts w:ascii="Times New Roman" w:hAnsi="Times New Roman" w:cs="Times New Roman"/>
          <w:color w:val="000000"/>
          <w:sz w:val="28"/>
          <w:szCs w:val="28"/>
          <w:shd w:val="clear" w:color="auto" w:fill="FFFFFF"/>
          <w:lang w:val="uk-UA"/>
        </w:rPr>
        <w:t>суб’єкти</w:t>
      </w:r>
      <w:r w:rsidR="00672AED" w:rsidRPr="008F25EC">
        <w:rPr>
          <w:rFonts w:ascii="Times New Roman" w:hAnsi="Times New Roman" w:cs="Times New Roman"/>
          <w:color w:val="000000"/>
          <w:sz w:val="28"/>
          <w:szCs w:val="28"/>
          <w:shd w:val="clear" w:color="auto" w:fill="FFFFFF"/>
          <w:lang w:val="uk-UA"/>
        </w:rPr>
        <w:t xml:space="preserve"> господарювання, діяльність яких не ст</w:t>
      </w:r>
      <w:r w:rsidR="00F2727E" w:rsidRPr="008F25EC">
        <w:rPr>
          <w:rFonts w:ascii="Times New Roman" w:hAnsi="Times New Roman" w:cs="Times New Roman"/>
          <w:color w:val="000000"/>
          <w:sz w:val="28"/>
          <w:szCs w:val="28"/>
          <w:shd w:val="clear" w:color="auto" w:fill="FFFFFF"/>
          <w:lang w:val="uk-UA"/>
        </w:rPr>
        <w:t xml:space="preserve">ановить значного ризику, </w:t>
      </w:r>
      <w:r w:rsidR="00672AED" w:rsidRPr="008F25EC">
        <w:rPr>
          <w:rFonts w:ascii="Times New Roman" w:hAnsi="Times New Roman" w:cs="Times New Roman"/>
          <w:color w:val="000000"/>
          <w:sz w:val="28"/>
          <w:szCs w:val="28"/>
          <w:shd w:val="clear" w:color="auto" w:fill="FFFFFF"/>
          <w:lang w:val="uk-UA"/>
        </w:rPr>
        <w:t xml:space="preserve">підлягають плановим заходам державного нагляду (контролю) частіше, ніж суб’єкти </w:t>
      </w:r>
      <w:r w:rsidR="00F2727E" w:rsidRPr="008F25EC">
        <w:rPr>
          <w:rFonts w:ascii="Times New Roman" w:hAnsi="Times New Roman" w:cs="Times New Roman"/>
          <w:color w:val="000000"/>
          <w:sz w:val="28"/>
          <w:szCs w:val="28"/>
          <w:shd w:val="clear" w:color="auto" w:fill="FFFFFF"/>
          <w:lang w:val="uk-UA"/>
        </w:rPr>
        <w:t>господарювання, що за видом діяльності на</w:t>
      </w:r>
      <w:r w:rsidR="008231A0" w:rsidRPr="008F25EC">
        <w:rPr>
          <w:rFonts w:ascii="Times New Roman" w:hAnsi="Times New Roman" w:cs="Times New Roman"/>
          <w:color w:val="000000"/>
          <w:sz w:val="28"/>
          <w:szCs w:val="28"/>
          <w:shd w:val="clear" w:color="auto" w:fill="FFFFFF"/>
          <w:lang w:val="uk-UA"/>
        </w:rPr>
        <w:t>лежать до групи високого ризику;</w:t>
      </w:r>
    </w:p>
    <w:p w14:paraId="54459532" w14:textId="2ADE2846" w:rsidR="00E97D08" w:rsidRPr="008F25EC" w:rsidRDefault="008231A0"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 xml:space="preserve">неврахування факторів </w:t>
      </w:r>
      <w:r w:rsidR="001B7895" w:rsidRPr="008F25EC">
        <w:rPr>
          <w:rFonts w:ascii="Times New Roman" w:hAnsi="Times New Roman" w:cs="Times New Roman"/>
          <w:color w:val="000000"/>
          <w:sz w:val="28"/>
          <w:szCs w:val="28"/>
          <w:shd w:val="clear" w:color="auto" w:fill="FFFFFF"/>
          <w:lang w:val="uk-UA"/>
        </w:rPr>
        <w:t xml:space="preserve">невизначеності </w:t>
      </w:r>
      <w:r w:rsidR="005247EA" w:rsidRPr="008F25EC">
        <w:rPr>
          <w:rFonts w:ascii="Times New Roman" w:hAnsi="Times New Roman" w:cs="Times New Roman"/>
          <w:color w:val="000000"/>
          <w:sz w:val="28"/>
          <w:szCs w:val="28"/>
          <w:shd w:val="clear" w:color="auto" w:fill="FFFFFF"/>
          <w:lang w:val="uk-UA"/>
        </w:rPr>
        <w:t>при аналізі ризику</w:t>
      </w:r>
      <w:r w:rsidRPr="008F25EC">
        <w:rPr>
          <w:rFonts w:ascii="Times New Roman" w:hAnsi="Times New Roman" w:cs="Times New Roman"/>
          <w:color w:val="000000"/>
          <w:sz w:val="28"/>
          <w:szCs w:val="28"/>
          <w:shd w:val="clear" w:color="auto" w:fill="FFFFFF"/>
          <w:lang w:val="uk-UA"/>
        </w:rPr>
        <w:t>;</w:t>
      </w:r>
    </w:p>
    <w:p w14:paraId="0C799182" w14:textId="538B3214" w:rsidR="00E97D08" w:rsidRDefault="005247EA"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неврахування значення ступеню прийнятного ризику при </w:t>
      </w:r>
      <w:r w:rsidR="00C71C07" w:rsidRPr="008F25EC">
        <w:rPr>
          <w:rFonts w:ascii="Times New Roman" w:hAnsi="Times New Roman" w:cs="Times New Roman"/>
          <w:color w:val="000000"/>
          <w:sz w:val="28"/>
          <w:szCs w:val="28"/>
          <w:shd w:val="clear" w:color="auto" w:fill="FFFFFF"/>
          <w:lang w:val="uk-UA"/>
        </w:rPr>
        <w:t>розподілі суб’єктів господарювання між ступенями ризику.</w:t>
      </w:r>
    </w:p>
    <w:p w14:paraId="1E0D171D" w14:textId="77777777" w:rsidR="008F25EC" w:rsidRPr="008F25EC" w:rsidRDefault="008F25EC" w:rsidP="008F25EC">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2ECFE2BF" w14:textId="7C71E85A" w:rsidR="00E97D08" w:rsidRPr="00BD3B15" w:rsidRDefault="00BA56F6"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 xml:space="preserve">Вимоги </w:t>
      </w:r>
      <w:r w:rsidRPr="008F25EC">
        <w:rPr>
          <w:rFonts w:ascii="Times New Roman" w:hAnsi="Times New Roman" w:cs="Times New Roman"/>
          <w:b/>
          <w:sz w:val="28"/>
          <w:szCs w:val="28"/>
          <w:lang w:val="uk-UA"/>
        </w:rPr>
        <w:t>до</w:t>
      </w:r>
      <w:r w:rsidRPr="00BD3B15">
        <w:rPr>
          <w:rFonts w:ascii="Times New Roman" w:hAnsi="Times New Roman" w:cs="Times New Roman"/>
          <w:b/>
          <w:sz w:val="28"/>
          <w:szCs w:val="28"/>
          <w:lang w:val="uk-UA"/>
        </w:rPr>
        <w:t xml:space="preserve"> змісту критеріїв</w:t>
      </w:r>
    </w:p>
    <w:p w14:paraId="783A8DE7" w14:textId="0317977E" w:rsidR="00E97D08" w:rsidRPr="008F25EC" w:rsidRDefault="00BA56F6"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Зміст критеріїв повинен відповідати таким вимогам:</w:t>
      </w:r>
    </w:p>
    <w:p w14:paraId="7962D2EC" w14:textId="28A5224B" w:rsidR="00E97D08" w:rsidRPr="008F25EC" w:rsidRDefault="00BA56F6"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відповідати цілям діяльності органу державного нагляду (контролю);</w:t>
      </w:r>
    </w:p>
    <w:p w14:paraId="5F429940" w14:textId="36C5B8A2" w:rsidR="00E97D08" w:rsidRPr="008F25EC" w:rsidRDefault="00BA56F6"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охоплювати всі підприємства, що підлягають перевірці органами державного нагляду (контролю), що їх застосовує. Зокрема, обрані критерії повинні відповідати діяльності та/або ознакам суб’єктів господарювання та/або товарів, що ними використовуються або виготовляються;</w:t>
      </w:r>
    </w:p>
    <w:p w14:paraId="18FE0D49" w14:textId="3A1DCB22" w:rsidR="00E97D08" w:rsidRPr="008F25EC" w:rsidRDefault="00BA56F6"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бути заснованими на достовірній, точній та доступній інформації. За необхідності, першочергово відбираються критерії, які дозволяють присвоювати ступінь ризику на основі важливої інформації, яка отримана із зовнішніх джерел від третіх осіб (які не є пов’язаними ані з органами державного нагляду (контролю), ані з даними, що надаються безпосередньо самими </w:t>
      </w:r>
      <w:r w:rsidR="00AE427B" w:rsidRPr="008F25EC">
        <w:rPr>
          <w:rFonts w:ascii="Times New Roman" w:hAnsi="Times New Roman" w:cs="Times New Roman"/>
          <w:color w:val="000000"/>
          <w:sz w:val="28"/>
          <w:szCs w:val="28"/>
          <w:shd w:val="clear" w:color="auto" w:fill="FFFFFF"/>
          <w:lang w:val="uk-UA"/>
        </w:rPr>
        <w:t>суб’єктами господарювання</w:t>
      </w:r>
      <w:r w:rsidRPr="008F25EC">
        <w:rPr>
          <w:rFonts w:ascii="Times New Roman" w:hAnsi="Times New Roman" w:cs="Times New Roman"/>
          <w:color w:val="000000"/>
          <w:sz w:val="28"/>
          <w:szCs w:val="28"/>
          <w:shd w:val="clear" w:color="auto" w:fill="FFFFFF"/>
          <w:lang w:val="uk-UA"/>
        </w:rPr>
        <w:t xml:space="preserve"> про власну діяльність</w:t>
      </w:r>
      <w:r w:rsidR="00AE427B" w:rsidRPr="008F25EC">
        <w:rPr>
          <w:rFonts w:ascii="Times New Roman" w:hAnsi="Times New Roman" w:cs="Times New Roman"/>
          <w:color w:val="000000"/>
          <w:sz w:val="28"/>
          <w:szCs w:val="28"/>
          <w:shd w:val="clear" w:color="auto" w:fill="FFFFFF"/>
          <w:lang w:val="uk-UA"/>
        </w:rPr>
        <w:t>)</w:t>
      </w:r>
      <w:r w:rsidRPr="008F25EC">
        <w:rPr>
          <w:rFonts w:ascii="Times New Roman" w:hAnsi="Times New Roman" w:cs="Times New Roman"/>
          <w:color w:val="000000"/>
          <w:sz w:val="28"/>
          <w:szCs w:val="28"/>
          <w:shd w:val="clear" w:color="auto" w:fill="FFFFFF"/>
          <w:lang w:val="uk-UA"/>
        </w:rPr>
        <w:t>, і може бути отримана в будь-який час, коли це необхідно;</w:t>
      </w:r>
    </w:p>
    <w:p w14:paraId="6550659C" w14:textId="2D2D947A" w:rsidR="00E97D08" w:rsidRPr="008F25EC" w:rsidRDefault="00BA56F6"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можуть бути зваженими (тобто, їм може бути призначене певне значення);</w:t>
      </w:r>
    </w:p>
    <w:p w14:paraId="5857056F" w14:textId="1EF74A85" w:rsidR="00E97D08" w:rsidRPr="008F25EC" w:rsidRDefault="00BA56F6"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можливість </w:t>
      </w:r>
      <w:r w:rsidR="009171EF" w:rsidRPr="008F25EC">
        <w:rPr>
          <w:rFonts w:ascii="Times New Roman" w:hAnsi="Times New Roman" w:cs="Times New Roman"/>
          <w:color w:val="000000"/>
          <w:sz w:val="28"/>
          <w:szCs w:val="28"/>
          <w:shd w:val="clear" w:color="auto" w:fill="FFFFFF"/>
          <w:lang w:val="uk-UA"/>
        </w:rPr>
        <w:t xml:space="preserve">розподілу </w:t>
      </w:r>
      <w:r w:rsidRPr="008F25EC">
        <w:rPr>
          <w:rFonts w:ascii="Times New Roman" w:hAnsi="Times New Roman" w:cs="Times New Roman"/>
          <w:color w:val="000000"/>
          <w:sz w:val="28"/>
          <w:szCs w:val="28"/>
          <w:shd w:val="clear" w:color="auto" w:fill="FFFFFF"/>
          <w:lang w:val="uk-UA"/>
        </w:rPr>
        <w:t>кожного критері</w:t>
      </w:r>
      <w:r w:rsidR="00AE1131" w:rsidRPr="008F25EC">
        <w:rPr>
          <w:rFonts w:ascii="Times New Roman" w:hAnsi="Times New Roman" w:cs="Times New Roman"/>
          <w:color w:val="000000"/>
          <w:sz w:val="28"/>
          <w:szCs w:val="28"/>
          <w:shd w:val="clear" w:color="auto" w:fill="FFFFFF"/>
          <w:lang w:val="uk-UA"/>
        </w:rPr>
        <w:t>ю</w:t>
      </w:r>
      <w:r w:rsidRPr="008F25EC">
        <w:rPr>
          <w:rFonts w:ascii="Times New Roman" w:hAnsi="Times New Roman" w:cs="Times New Roman"/>
          <w:color w:val="000000"/>
          <w:sz w:val="28"/>
          <w:szCs w:val="28"/>
          <w:shd w:val="clear" w:color="auto" w:fill="FFFFFF"/>
          <w:lang w:val="uk-UA"/>
        </w:rPr>
        <w:t xml:space="preserve"> за</w:t>
      </w:r>
      <w:r w:rsidR="00AE1131" w:rsidRPr="008F25EC">
        <w:rPr>
          <w:rFonts w:ascii="Times New Roman" w:hAnsi="Times New Roman" w:cs="Times New Roman"/>
          <w:color w:val="000000"/>
          <w:sz w:val="28"/>
          <w:szCs w:val="28"/>
          <w:shd w:val="clear" w:color="auto" w:fill="FFFFFF"/>
          <w:lang w:val="uk-UA"/>
        </w:rPr>
        <w:t xml:space="preserve"> ступенем</w:t>
      </w:r>
      <w:r w:rsidRPr="008F25EC">
        <w:rPr>
          <w:rFonts w:ascii="Times New Roman" w:hAnsi="Times New Roman" w:cs="Times New Roman"/>
          <w:color w:val="000000"/>
          <w:sz w:val="28"/>
          <w:szCs w:val="28"/>
          <w:shd w:val="clear" w:color="auto" w:fill="FFFFFF"/>
          <w:lang w:val="uk-UA"/>
        </w:rPr>
        <w:t xml:space="preserve"> ризику, який він описує або характеризує;</w:t>
      </w:r>
    </w:p>
    <w:p w14:paraId="1D786584" w14:textId="654F5912" w:rsidR="00E97D08" w:rsidRPr="008F25EC" w:rsidRDefault="00BA56F6"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співвідноситися з багатостороннім характером джерел ризику. Особливо важливим є відсутність дублювання критеріїв ризику, а також те, що були відібрані критерії, що стосуються предмета, об’єкта і попередніх відносин між суб’єктами господарювання.</w:t>
      </w:r>
      <w:bookmarkStart w:id="11" w:name="_Ref476531150"/>
    </w:p>
    <w:p w14:paraId="04C52D7C" w14:textId="59CC50D3" w:rsidR="00E97D08" w:rsidRPr="008F25EC" w:rsidRDefault="009F56F7"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Прикладами відібраних критеріїв можуть бути:</w:t>
      </w:r>
      <w:bookmarkEnd w:id="11"/>
    </w:p>
    <w:p w14:paraId="1B6EA38C" w14:textId="090A9520"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вид </w:t>
      </w:r>
      <w:r w:rsidR="001C7315" w:rsidRPr="008F25EC">
        <w:rPr>
          <w:rFonts w:ascii="Times New Roman" w:hAnsi="Times New Roman" w:cs="Times New Roman"/>
          <w:color w:val="000000"/>
          <w:sz w:val="28"/>
          <w:szCs w:val="28"/>
          <w:shd w:val="clear" w:color="auto" w:fill="FFFFFF"/>
          <w:lang w:val="uk-UA"/>
        </w:rPr>
        <w:t xml:space="preserve">та сфера </w:t>
      </w:r>
      <w:r w:rsidRPr="008F25EC">
        <w:rPr>
          <w:rFonts w:ascii="Times New Roman" w:hAnsi="Times New Roman" w:cs="Times New Roman"/>
          <w:color w:val="000000"/>
          <w:sz w:val="28"/>
          <w:szCs w:val="28"/>
          <w:shd w:val="clear" w:color="auto" w:fill="FFFFFF"/>
          <w:lang w:val="uk-UA"/>
        </w:rPr>
        <w:t>діяль</w:t>
      </w:r>
      <w:r w:rsidR="00F7368A" w:rsidRPr="008F25EC">
        <w:rPr>
          <w:rFonts w:ascii="Times New Roman" w:hAnsi="Times New Roman" w:cs="Times New Roman"/>
          <w:color w:val="000000"/>
          <w:sz w:val="28"/>
          <w:szCs w:val="28"/>
          <w:shd w:val="clear" w:color="auto" w:fill="FFFFFF"/>
          <w:lang w:val="uk-UA"/>
        </w:rPr>
        <w:t>ності суб’єктів господарювання</w:t>
      </w:r>
      <w:r w:rsidRPr="008F25EC">
        <w:rPr>
          <w:rFonts w:ascii="Times New Roman" w:hAnsi="Times New Roman" w:cs="Times New Roman"/>
          <w:color w:val="000000"/>
          <w:sz w:val="28"/>
          <w:szCs w:val="28"/>
          <w:shd w:val="clear" w:color="auto" w:fill="FFFFFF"/>
          <w:lang w:val="uk-UA"/>
        </w:rPr>
        <w:t>;</w:t>
      </w:r>
    </w:p>
    <w:p w14:paraId="7E84FFDB" w14:textId="0675286F"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строк (тривалість) провадження діяльності суб’єктів господарювання у відповідній сфері;</w:t>
      </w:r>
    </w:p>
    <w:p w14:paraId="4F587822" w14:textId="04F71072"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наявність порушень законодавства, виявлених при проведенні попередніх заходів державного нагляду (контролю);</w:t>
      </w:r>
    </w:p>
    <w:p w14:paraId="100588B2" w14:textId="0EF8E917" w:rsidR="00E97D08" w:rsidRPr="008F25EC" w:rsidRDefault="004F3C39"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наявність</w:t>
      </w:r>
      <w:r w:rsidR="00097F18" w:rsidRPr="008F25EC">
        <w:rPr>
          <w:rFonts w:ascii="Times New Roman" w:hAnsi="Times New Roman" w:cs="Times New Roman"/>
          <w:color w:val="000000"/>
          <w:sz w:val="28"/>
          <w:szCs w:val="28"/>
          <w:shd w:val="clear" w:color="auto" w:fill="FFFFFF"/>
          <w:lang w:val="uk-UA"/>
        </w:rPr>
        <w:t xml:space="preserve"> порушень у попередній діяльності суб’єктів господарювання (крім новостворених)</w:t>
      </w:r>
    </w:p>
    <w:p w14:paraId="3F59CE0F" w14:textId="5AE999A2" w:rsidR="00E97D08" w:rsidRPr="008F25EC" w:rsidRDefault="00F7368A"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вид та обсяг випуску продукції, виконаних робіт, наданих послуг</w:t>
      </w:r>
    </w:p>
    <w:p w14:paraId="7342F488" w14:textId="1D0E0AC7"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масштаб діяльності суб’єктів господарювання (комерційний оборот);</w:t>
      </w:r>
    </w:p>
    <w:p w14:paraId="6AABF280" w14:textId="486630C6" w:rsidR="00E97D08" w:rsidRPr="008F25EC" w:rsidRDefault="009F56F7"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кількість найнятих осіб суб’єктом господарювання;</w:t>
      </w:r>
    </w:p>
    <w:p w14:paraId="61830452" w14:textId="667778DC"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кількість осіб, які перебувають в приміщенні, під час здійснення суб’єктом господарювання діяльності, яка підлягає контролю (нагляду);</w:t>
      </w:r>
    </w:p>
    <w:p w14:paraId="7A49A63C" w14:textId="5A111532"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місцезнаходження об’єкта (в тому числі наявність поблизу охоронюваних законом об’єктів навколишнього середовища);</w:t>
      </w:r>
    </w:p>
    <w:p w14:paraId="767B53F0" w14:textId="76EAB8E7"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ступінь зносу обладнання;</w:t>
      </w:r>
    </w:p>
    <w:p w14:paraId="74502009" w14:textId="543F960A"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хімічні речовини, які використовує у виробництві суб’єкт господарювання;</w:t>
      </w:r>
    </w:p>
    <w:p w14:paraId="40E9F13B" w14:textId="46D06958"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споживач продукції суб’єкта господарювання (в тому числі наявність таких груп споживачів, які є більш чутливими до ризику – дітей, людей похилого віку тощо);</w:t>
      </w:r>
    </w:p>
    <w:p w14:paraId="69D836ED" w14:textId="27CF39D1"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масштаб прогнозованих фінансово-господарських збитків внаслідок настання негативних наслідків.</w:t>
      </w:r>
    </w:p>
    <w:p w14:paraId="26C021C7" w14:textId="0488526E" w:rsidR="00E97D08" w:rsidRPr="008F25EC" w:rsidRDefault="009F56F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Цей перелік не є вичерпним та формується залежно від сфери нагляду (контролю).</w:t>
      </w:r>
      <w:bookmarkStart w:id="12" w:name="_Ref476552212"/>
    </w:p>
    <w:p w14:paraId="38F66DF2" w14:textId="3375A2C8" w:rsidR="00E97D08" w:rsidRPr="008F25EC" w:rsidRDefault="009F56F7"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Органу державного нагляду контролю слід використовувати не менше, ніж п’ять критеріїв ризику при визначенні ступеню небезпеки</w:t>
      </w:r>
      <w:r w:rsidR="00A3690D" w:rsidRPr="008F25EC">
        <w:rPr>
          <w:rFonts w:ascii="Times New Roman" w:hAnsi="Times New Roman" w:cs="Times New Roman"/>
          <w:color w:val="000000"/>
          <w:sz w:val="28"/>
          <w:szCs w:val="28"/>
          <w:shd w:val="clear" w:color="auto" w:fill="FFFFFF"/>
          <w:lang w:val="uk-UA"/>
        </w:rPr>
        <w:t xml:space="preserve"> діяльності</w:t>
      </w:r>
      <w:r w:rsidRPr="008F25EC">
        <w:rPr>
          <w:rFonts w:ascii="Times New Roman" w:hAnsi="Times New Roman" w:cs="Times New Roman"/>
          <w:color w:val="000000"/>
          <w:sz w:val="28"/>
          <w:szCs w:val="28"/>
          <w:shd w:val="clear" w:color="auto" w:fill="FFFFFF"/>
          <w:lang w:val="uk-UA"/>
        </w:rPr>
        <w:t>,</w:t>
      </w:r>
      <w:r w:rsidR="00A3690D" w:rsidRPr="008F25EC">
        <w:rPr>
          <w:rFonts w:ascii="Times New Roman" w:hAnsi="Times New Roman" w:cs="Times New Roman"/>
          <w:color w:val="000000"/>
          <w:sz w:val="28"/>
          <w:szCs w:val="28"/>
          <w:shd w:val="clear" w:color="auto" w:fill="FFFFFF"/>
          <w:lang w:val="uk-UA"/>
        </w:rPr>
        <w:t xml:space="preserve"> яка підлягає державному нагляду (контролю)</w:t>
      </w:r>
      <w:r w:rsidRPr="008F25EC">
        <w:rPr>
          <w:rFonts w:ascii="Times New Roman" w:hAnsi="Times New Roman" w:cs="Times New Roman"/>
          <w:color w:val="000000"/>
          <w:sz w:val="28"/>
          <w:szCs w:val="28"/>
          <w:shd w:val="clear" w:color="auto" w:fill="FFFFFF"/>
          <w:lang w:val="uk-UA"/>
        </w:rPr>
        <w:t xml:space="preserve"> при цьому обов’язково враховуються критерії, зазначені в підпунктах (а) – (в) пункту </w:t>
      </w:r>
      <w:r w:rsidRPr="008F25EC">
        <w:rPr>
          <w:rFonts w:ascii="Times New Roman" w:hAnsi="Times New Roman" w:cs="Times New Roman"/>
          <w:color w:val="000000"/>
          <w:sz w:val="28"/>
          <w:szCs w:val="28"/>
          <w:shd w:val="clear" w:color="auto" w:fill="FFFFFF"/>
          <w:lang w:val="uk-UA"/>
        </w:rPr>
        <w:fldChar w:fldCharType="begin"/>
      </w:r>
      <w:r w:rsidRPr="008F25EC">
        <w:rPr>
          <w:rFonts w:ascii="Times New Roman" w:hAnsi="Times New Roman" w:cs="Times New Roman"/>
          <w:color w:val="000000"/>
          <w:sz w:val="28"/>
          <w:szCs w:val="28"/>
          <w:shd w:val="clear" w:color="auto" w:fill="FFFFFF"/>
          <w:lang w:val="uk-UA"/>
        </w:rPr>
        <w:instrText xml:space="preserve"> REF _Ref476531150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Pr="008F25EC">
        <w:rPr>
          <w:rFonts w:ascii="Times New Roman" w:hAnsi="Times New Roman" w:cs="Times New Roman"/>
          <w:color w:val="000000"/>
          <w:sz w:val="28"/>
          <w:szCs w:val="28"/>
          <w:shd w:val="clear" w:color="auto" w:fill="FFFFFF"/>
          <w:lang w:val="uk-UA"/>
        </w:rPr>
      </w:r>
      <w:r w:rsidRPr="008F25EC">
        <w:rPr>
          <w:rFonts w:ascii="Times New Roman" w:hAnsi="Times New Roman" w:cs="Times New Roman"/>
          <w:color w:val="000000"/>
          <w:sz w:val="28"/>
          <w:szCs w:val="28"/>
          <w:shd w:val="clear" w:color="auto" w:fill="FFFFFF"/>
          <w:lang w:val="uk-UA"/>
        </w:rPr>
        <w:fldChar w:fldCharType="separate"/>
      </w:r>
      <w:r w:rsidRPr="008F25EC">
        <w:rPr>
          <w:rFonts w:ascii="Times New Roman" w:hAnsi="Times New Roman" w:cs="Times New Roman"/>
          <w:color w:val="000000"/>
          <w:sz w:val="28"/>
          <w:szCs w:val="28"/>
          <w:shd w:val="clear" w:color="auto" w:fill="FFFFFF"/>
          <w:lang w:val="uk-UA"/>
        </w:rPr>
        <w:t>26</w:t>
      </w:r>
      <w:r w:rsidRPr="008F25EC">
        <w:rPr>
          <w:rFonts w:ascii="Times New Roman" w:hAnsi="Times New Roman" w:cs="Times New Roman"/>
          <w:color w:val="000000"/>
          <w:sz w:val="28"/>
          <w:szCs w:val="28"/>
          <w:shd w:val="clear" w:color="auto" w:fill="FFFFFF"/>
          <w:lang w:val="uk-UA"/>
        </w:rPr>
        <w:fldChar w:fldCharType="end"/>
      </w:r>
      <w:r w:rsidRPr="008F25EC">
        <w:rPr>
          <w:rFonts w:ascii="Times New Roman" w:hAnsi="Times New Roman" w:cs="Times New Roman"/>
          <w:color w:val="000000"/>
          <w:sz w:val="28"/>
          <w:szCs w:val="28"/>
          <w:shd w:val="clear" w:color="auto" w:fill="FFFFFF"/>
          <w:lang w:val="uk-UA"/>
        </w:rPr>
        <w:t xml:space="preserve"> вище.</w:t>
      </w:r>
      <w:bookmarkEnd w:id="12"/>
    </w:p>
    <w:p w14:paraId="60E4B0AF" w14:textId="5E9D657D" w:rsidR="00E97D08" w:rsidRDefault="00A3690D"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Крім обов’язкових критеріїв, органу державного нагляду (контролю) необхідно використати як мінімум один кількісний показник, тобто такий критерій, який має </w:t>
      </w:r>
      <w:r w:rsidR="00B10C78" w:rsidRPr="008F25EC">
        <w:rPr>
          <w:rFonts w:ascii="Times New Roman" w:hAnsi="Times New Roman" w:cs="Times New Roman"/>
          <w:color w:val="000000"/>
          <w:sz w:val="28"/>
          <w:szCs w:val="28"/>
          <w:shd w:val="clear" w:color="auto" w:fill="FFFFFF"/>
          <w:lang w:val="uk-UA"/>
        </w:rPr>
        <w:t xml:space="preserve">характеризує </w:t>
      </w:r>
      <w:r w:rsidRPr="008F25EC">
        <w:rPr>
          <w:rFonts w:ascii="Times New Roman" w:hAnsi="Times New Roman" w:cs="Times New Roman"/>
          <w:color w:val="000000"/>
          <w:sz w:val="28"/>
          <w:szCs w:val="28"/>
          <w:shd w:val="clear" w:color="auto" w:fill="FFFFFF"/>
          <w:lang w:val="uk-UA"/>
        </w:rPr>
        <w:t>вимірювану величину.</w:t>
      </w:r>
    </w:p>
    <w:p w14:paraId="574B4FD7" w14:textId="77777777" w:rsidR="008F25EC" w:rsidRPr="008F25EC" w:rsidRDefault="008F25EC" w:rsidP="008F25EC">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405B0643" w14:textId="110F6D35" w:rsidR="00E97D08" w:rsidRPr="00BD3B15" w:rsidRDefault="008F25EC"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 xml:space="preserve"> </w:t>
      </w:r>
      <w:r w:rsidR="009171EF" w:rsidRPr="00BD3B15">
        <w:rPr>
          <w:rFonts w:ascii="Times New Roman" w:hAnsi="Times New Roman" w:cs="Times New Roman"/>
          <w:b/>
          <w:sz w:val="28"/>
          <w:szCs w:val="28"/>
          <w:lang w:val="uk-UA"/>
        </w:rPr>
        <w:t>Розподіл критеріїв за рівнем інтенсивності</w:t>
      </w:r>
    </w:p>
    <w:p w14:paraId="7F0C0643" w14:textId="1668721F" w:rsidR="00E97D08" w:rsidRPr="008F25EC" w:rsidRDefault="00894B31"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Кожен критерій ризику розподіляється за рівнем інтенсивності на три групи (шкала оцінки від 1 до 3, де «1» означає мінімальний і «3» - максимальний рівень інтенсивності).</w:t>
      </w:r>
    </w:p>
    <w:p w14:paraId="0B5934F3" w14:textId="45588257" w:rsidR="00E97D08" w:rsidRPr="008F25EC" w:rsidRDefault="00894B31"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w:t>
      </w:r>
      <w:r w:rsidR="009171EF" w:rsidRPr="008F25EC">
        <w:rPr>
          <w:rFonts w:ascii="Times New Roman" w:hAnsi="Times New Roman" w:cs="Times New Roman"/>
          <w:color w:val="000000"/>
          <w:sz w:val="28"/>
          <w:szCs w:val="28"/>
          <w:shd w:val="clear" w:color="auto" w:fill="FFFFFF"/>
          <w:lang w:val="uk-UA"/>
        </w:rPr>
        <w:t>ри присудженні цифрових значень</w:t>
      </w:r>
      <w:r w:rsidRPr="008F25EC">
        <w:rPr>
          <w:rFonts w:ascii="Times New Roman" w:hAnsi="Times New Roman" w:cs="Times New Roman"/>
          <w:color w:val="000000"/>
          <w:sz w:val="28"/>
          <w:szCs w:val="28"/>
          <w:shd w:val="clear" w:color="auto" w:fill="FFFFFF"/>
          <w:lang w:val="uk-UA"/>
        </w:rPr>
        <w:t xml:space="preserve"> слід враховувати вагу кожного рівня в рамках критерію ризику і рівномірність переміщення з одного рівня на інший таким чином, що в рамках критерію ризику були відображені всі рівні</w:t>
      </w:r>
      <w:r w:rsidR="009171EF" w:rsidRPr="008F25EC">
        <w:rPr>
          <w:rFonts w:ascii="Times New Roman" w:hAnsi="Times New Roman" w:cs="Times New Roman"/>
          <w:color w:val="000000"/>
          <w:sz w:val="28"/>
          <w:szCs w:val="28"/>
          <w:shd w:val="clear" w:color="auto" w:fill="FFFFFF"/>
          <w:lang w:val="uk-UA"/>
        </w:rPr>
        <w:t xml:space="preserve"> інтенсивності ризику</w:t>
      </w:r>
      <w:r w:rsidRPr="008F25EC">
        <w:rPr>
          <w:rFonts w:ascii="Times New Roman" w:hAnsi="Times New Roman" w:cs="Times New Roman"/>
          <w:color w:val="000000"/>
          <w:sz w:val="28"/>
          <w:szCs w:val="28"/>
          <w:shd w:val="clear" w:color="auto" w:fill="FFFFFF"/>
          <w:lang w:val="uk-UA"/>
        </w:rPr>
        <w:t>.</w:t>
      </w:r>
    </w:p>
    <w:p w14:paraId="78510473" w14:textId="1583FB02" w:rsidR="00E97D08" w:rsidRPr="008F25EC" w:rsidRDefault="00894B31"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Приклад розподілу обов’язкових критеріїв на рівні інтенсивності.</w:t>
      </w:r>
    </w:p>
    <w:p w14:paraId="57249621" w14:textId="797FCFBF" w:rsidR="00E97D08" w:rsidRPr="008F25EC" w:rsidRDefault="00894B31"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а) </w:t>
      </w:r>
      <w:r w:rsidR="00F7368A" w:rsidRPr="008F25EC">
        <w:rPr>
          <w:rFonts w:ascii="Times New Roman" w:hAnsi="Times New Roman" w:cs="Times New Roman"/>
          <w:color w:val="000000"/>
          <w:sz w:val="28"/>
          <w:szCs w:val="28"/>
          <w:shd w:val="clear" w:color="auto" w:fill="FFFFFF"/>
          <w:lang w:val="uk-UA"/>
        </w:rPr>
        <w:t>вид діяльності суб’єкта господарювання.</w:t>
      </w:r>
    </w:p>
    <w:p w14:paraId="31A04EA0" w14:textId="0BFC33A6" w:rsidR="00E97D08" w:rsidRDefault="00F7368A"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Загальне </w:t>
      </w:r>
      <w:proofErr w:type="spellStart"/>
      <w:r w:rsidRPr="008F25EC">
        <w:rPr>
          <w:rFonts w:ascii="Times New Roman" w:hAnsi="Times New Roman" w:cs="Times New Roman"/>
          <w:color w:val="000000"/>
          <w:sz w:val="28"/>
          <w:szCs w:val="28"/>
          <w:shd w:val="clear" w:color="auto" w:fill="FFFFFF"/>
          <w:lang w:val="uk-UA"/>
        </w:rPr>
        <w:t>обгрунтування</w:t>
      </w:r>
      <w:proofErr w:type="spellEnd"/>
      <w:r w:rsidRPr="008F25EC">
        <w:rPr>
          <w:rFonts w:ascii="Times New Roman" w:hAnsi="Times New Roman" w:cs="Times New Roman"/>
          <w:color w:val="000000"/>
          <w:sz w:val="28"/>
          <w:szCs w:val="28"/>
          <w:shd w:val="clear" w:color="auto" w:fill="FFFFFF"/>
          <w:lang w:val="uk-UA"/>
        </w:rPr>
        <w:t xml:space="preserve"> полягає в тому, що деякі види діяльності загалом є більш небезпечними, ніж інші, оскільки при їх здійсненні збільшується </w:t>
      </w:r>
      <w:r w:rsidR="009171EF" w:rsidRPr="008F25EC">
        <w:rPr>
          <w:rFonts w:ascii="Times New Roman" w:hAnsi="Times New Roman" w:cs="Times New Roman"/>
          <w:color w:val="000000"/>
          <w:sz w:val="28"/>
          <w:szCs w:val="28"/>
          <w:shd w:val="clear" w:color="auto" w:fill="FFFFFF"/>
          <w:lang w:val="uk-UA"/>
        </w:rPr>
        <w:t>ймовірність</w:t>
      </w:r>
      <w:r w:rsidRPr="008F25EC">
        <w:rPr>
          <w:rFonts w:ascii="Times New Roman" w:hAnsi="Times New Roman" w:cs="Times New Roman"/>
          <w:color w:val="000000"/>
          <w:sz w:val="28"/>
          <w:szCs w:val="28"/>
          <w:shd w:val="clear" w:color="auto" w:fill="FFFFFF"/>
          <w:lang w:val="uk-UA"/>
        </w:rPr>
        <w:t xml:space="preserve"> настання аварій або інших негативних наслідків. Також, деякі </w:t>
      </w:r>
      <w:r w:rsidR="00DE0342" w:rsidRPr="008F25EC">
        <w:rPr>
          <w:rFonts w:ascii="Times New Roman" w:hAnsi="Times New Roman" w:cs="Times New Roman"/>
          <w:color w:val="000000"/>
          <w:sz w:val="28"/>
          <w:szCs w:val="28"/>
          <w:shd w:val="clear" w:color="auto" w:fill="FFFFFF"/>
          <w:lang w:val="uk-UA"/>
        </w:rPr>
        <w:t xml:space="preserve">з таких аварій чи інших негативних наслідків </w:t>
      </w:r>
      <w:r w:rsidRPr="008F25EC">
        <w:rPr>
          <w:rFonts w:ascii="Times New Roman" w:hAnsi="Times New Roman" w:cs="Times New Roman"/>
          <w:color w:val="000000"/>
          <w:sz w:val="28"/>
          <w:szCs w:val="28"/>
          <w:shd w:val="clear" w:color="auto" w:fill="FFFFFF"/>
          <w:lang w:val="uk-UA"/>
        </w:rPr>
        <w:t xml:space="preserve">можуть </w:t>
      </w:r>
      <w:r w:rsidR="00DE0342" w:rsidRPr="008F25EC">
        <w:rPr>
          <w:rFonts w:ascii="Times New Roman" w:hAnsi="Times New Roman" w:cs="Times New Roman"/>
          <w:color w:val="000000"/>
          <w:sz w:val="28"/>
          <w:szCs w:val="28"/>
          <w:shd w:val="clear" w:color="auto" w:fill="FFFFFF"/>
          <w:lang w:val="uk-UA"/>
        </w:rPr>
        <w:t>привести до збитків в особливо великих розмірах, таким чином збільшуючи рівень інтенсивності ризику.</w:t>
      </w:r>
    </w:p>
    <w:p w14:paraId="65562DF6" w14:textId="77777777" w:rsidR="00BD3B15" w:rsidRPr="008F25EC" w:rsidRDefault="00BD3B15" w:rsidP="00BD3B15">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38192ED5" w14:textId="7C7CD100" w:rsidR="00DE0342" w:rsidRPr="008F25EC" w:rsidRDefault="00DE0342" w:rsidP="008F25EC">
      <w:pPr>
        <w:tabs>
          <w:tab w:val="left" w:pos="1134"/>
        </w:tabs>
        <w:spacing w:before="60" w:after="60" w:line="240" w:lineRule="auto"/>
        <w:ind w:firstLine="709"/>
        <w:jc w:val="both"/>
        <w:rPr>
          <w:rFonts w:ascii="Times New Roman" w:hAnsi="Times New Roman" w:cs="Times New Roman"/>
          <w:b/>
          <w:i/>
          <w:color w:val="000000"/>
          <w:sz w:val="28"/>
          <w:szCs w:val="28"/>
          <w:shd w:val="clear" w:color="auto" w:fill="FFFFFF"/>
          <w:lang w:val="uk-UA"/>
        </w:rPr>
      </w:pPr>
      <w:r w:rsidRPr="008F25EC">
        <w:rPr>
          <w:rFonts w:ascii="Times New Roman" w:hAnsi="Times New Roman" w:cs="Times New Roman"/>
          <w:i/>
          <w:color w:val="000000"/>
          <w:sz w:val="28"/>
          <w:szCs w:val="28"/>
          <w:shd w:val="clear" w:color="auto" w:fill="FFFFFF"/>
          <w:lang w:val="uk-UA"/>
        </w:rPr>
        <w:t>Приклад 1. Вид діяльності – безпека харчових продуктів</w:t>
      </w:r>
    </w:p>
    <w:tbl>
      <w:tblPr>
        <w:tblStyle w:val="ac"/>
        <w:tblW w:w="0" w:type="auto"/>
        <w:tblLook w:val="04A0" w:firstRow="1" w:lastRow="0" w:firstColumn="1" w:lastColumn="0" w:noHBand="0" w:noVBand="1"/>
      </w:tblPr>
      <w:tblGrid>
        <w:gridCol w:w="4672"/>
        <w:gridCol w:w="4672"/>
      </w:tblGrid>
      <w:tr w:rsidR="00DE0342" w:rsidRPr="008F25EC" w14:paraId="3E110485" w14:textId="77777777" w:rsidTr="00BD3B15">
        <w:tc>
          <w:tcPr>
            <w:tcW w:w="4672" w:type="dxa"/>
            <w:vAlign w:val="center"/>
          </w:tcPr>
          <w:p w14:paraId="2FE9AF62" w14:textId="5B6ADD9E" w:rsidR="00DE0342" w:rsidRPr="008F25EC" w:rsidRDefault="00DE0342"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lastRenderedPageBreak/>
              <w:t>Вид діяльності</w:t>
            </w:r>
          </w:p>
        </w:tc>
        <w:tc>
          <w:tcPr>
            <w:tcW w:w="4673" w:type="dxa"/>
            <w:vAlign w:val="center"/>
          </w:tcPr>
          <w:p w14:paraId="32FA0EA8" w14:textId="282E55D0" w:rsidR="00DE0342" w:rsidRPr="008F25EC" w:rsidRDefault="00DE0342"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Рівень інтенсивності</w:t>
            </w:r>
            <w:r w:rsidR="00BD3B15">
              <w:rPr>
                <w:rFonts w:ascii="Times New Roman" w:hAnsi="Times New Roman" w:cs="Times New Roman"/>
                <w:b/>
                <w:color w:val="000000"/>
                <w:sz w:val="28"/>
                <w:szCs w:val="28"/>
                <w:shd w:val="clear" w:color="auto" w:fill="FFFFFF"/>
                <w:lang w:val="uk-UA"/>
              </w:rPr>
              <w:br/>
            </w:r>
            <w:r w:rsidR="009171EF" w:rsidRPr="008F25EC">
              <w:rPr>
                <w:rFonts w:ascii="Times New Roman" w:hAnsi="Times New Roman" w:cs="Times New Roman"/>
                <w:b/>
                <w:color w:val="000000"/>
                <w:sz w:val="28"/>
                <w:szCs w:val="28"/>
                <w:shd w:val="clear" w:color="auto" w:fill="FFFFFF"/>
                <w:lang w:val="uk-UA"/>
              </w:rPr>
              <w:t>(Ступінь ризику)</w:t>
            </w:r>
          </w:p>
        </w:tc>
      </w:tr>
      <w:tr w:rsidR="00DE0342" w:rsidRPr="008F25EC" w14:paraId="2B160D68" w14:textId="77777777" w:rsidTr="00BD3B15">
        <w:tc>
          <w:tcPr>
            <w:tcW w:w="4672" w:type="dxa"/>
          </w:tcPr>
          <w:p w14:paraId="6DF51368" w14:textId="596C1F90" w:rsidR="00E97D08"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Випічка</w:t>
            </w:r>
          </w:p>
          <w:p w14:paraId="6DF68154" w14:textId="3DCC8A09" w:rsidR="00E97D08"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Заморожені продукти</w:t>
            </w:r>
          </w:p>
          <w:p w14:paraId="1E080B8B" w14:textId="21B1D835" w:rsidR="00DE0342"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Підігрів оброблених заморожених продуктів</w:t>
            </w:r>
          </w:p>
        </w:tc>
        <w:tc>
          <w:tcPr>
            <w:tcW w:w="4673" w:type="dxa"/>
            <w:vAlign w:val="center"/>
          </w:tcPr>
          <w:p w14:paraId="35AF8F37" w14:textId="7620A971" w:rsidR="00DE0342" w:rsidRPr="008F25EC" w:rsidRDefault="00DE0342"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1</w:t>
            </w:r>
          </w:p>
        </w:tc>
      </w:tr>
      <w:tr w:rsidR="00DE0342" w:rsidRPr="008F25EC" w14:paraId="6903BDD8" w14:textId="77777777" w:rsidTr="00BD3B15">
        <w:tc>
          <w:tcPr>
            <w:tcW w:w="4672" w:type="dxa"/>
          </w:tcPr>
          <w:p w14:paraId="24CC59CB" w14:textId="0A4E2D70" w:rsidR="00E97D08"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Обробка рослинних продуктів, яєць або пастеризованого молока</w:t>
            </w:r>
          </w:p>
          <w:p w14:paraId="4E9D9856" w14:textId="39F059B8" w:rsidR="00E97D08"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Підготовка оброблених продуктів тваринного походження</w:t>
            </w:r>
          </w:p>
          <w:p w14:paraId="5CDA7D31" w14:textId="6E3AA8DD" w:rsidR="00DE0342"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Повторний розігрів, підтримання високої температури</w:t>
            </w:r>
          </w:p>
        </w:tc>
        <w:tc>
          <w:tcPr>
            <w:tcW w:w="4673" w:type="dxa"/>
            <w:vAlign w:val="center"/>
          </w:tcPr>
          <w:p w14:paraId="450196D2" w14:textId="6CFD6676" w:rsidR="00DE0342" w:rsidRPr="008F25EC" w:rsidRDefault="00DE0342"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2</w:t>
            </w:r>
          </w:p>
        </w:tc>
      </w:tr>
      <w:tr w:rsidR="00DE0342" w:rsidRPr="008F25EC" w14:paraId="7AFC320E" w14:textId="77777777" w:rsidTr="00BD3B15">
        <w:tc>
          <w:tcPr>
            <w:tcW w:w="4672" w:type="dxa"/>
          </w:tcPr>
          <w:p w14:paraId="0EEA020C" w14:textId="4ECAADF0" w:rsidR="00E97D08"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Обробка сирого м’яса, сирої риби, сирої домашньої птиці або непастеризованого молока.</w:t>
            </w:r>
          </w:p>
          <w:p w14:paraId="425D41ED" w14:textId="4B06F319" w:rsidR="00E97D08"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Рубання м’яса / риби і виготовлення м’ясопродуктів</w:t>
            </w:r>
          </w:p>
          <w:p w14:paraId="2DE732B7" w14:textId="36582D9E" w:rsidR="00DE0342" w:rsidRPr="008F25EC" w:rsidRDefault="00DE0342"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Охолодження</w:t>
            </w:r>
          </w:p>
        </w:tc>
        <w:tc>
          <w:tcPr>
            <w:tcW w:w="4673" w:type="dxa"/>
            <w:vAlign w:val="center"/>
          </w:tcPr>
          <w:p w14:paraId="19916C80" w14:textId="2FBC5811" w:rsidR="00DE0342" w:rsidRPr="008F25EC" w:rsidRDefault="00DE0342"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3</w:t>
            </w:r>
          </w:p>
        </w:tc>
      </w:tr>
    </w:tbl>
    <w:p w14:paraId="24C9A905" w14:textId="4A606365" w:rsidR="00F7368A" w:rsidRPr="008F25EC" w:rsidRDefault="00F7368A" w:rsidP="00227A9E">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0EB70A73" w14:textId="3BC04822" w:rsidR="00E97D08" w:rsidRPr="008F25EC" w:rsidRDefault="00F7368A"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б) </w:t>
      </w:r>
      <w:r w:rsidR="00894B31" w:rsidRPr="008F25EC">
        <w:rPr>
          <w:rFonts w:ascii="Times New Roman" w:hAnsi="Times New Roman" w:cs="Times New Roman"/>
          <w:color w:val="000000"/>
          <w:sz w:val="28"/>
          <w:szCs w:val="28"/>
          <w:shd w:val="clear" w:color="auto" w:fill="FFFFFF"/>
          <w:lang w:val="uk-UA"/>
        </w:rPr>
        <w:t>строк (тривалість) провадження діяльності суб’єктів господарювання у відповідній сфері.</w:t>
      </w:r>
    </w:p>
    <w:p w14:paraId="1F18A017" w14:textId="136E0192" w:rsidR="00E97D08" w:rsidRDefault="00894B31"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Загальне обґрунтування полягає в тому, що чим довший стаж діяльності суб’єкта господарювання на ринку, тим краще він ознайомлений із чинним законодавством, тим більш уважно в</w:t>
      </w:r>
      <w:r w:rsidR="009171EF" w:rsidRPr="008F25EC">
        <w:rPr>
          <w:rFonts w:ascii="Times New Roman" w:hAnsi="Times New Roman" w:cs="Times New Roman"/>
          <w:color w:val="000000"/>
          <w:sz w:val="28"/>
          <w:szCs w:val="28"/>
          <w:shd w:val="clear" w:color="auto" w:fill="FFFFFF"/>
          <w:lang w:val="uk-UA"/>
        </w:rPr>
        <w:t>ін</w:t>
      </w:r>
      <w:r w:rsidRPr="008F25EC">
        <w:rPr>
          <w:rFonts w:ascii="Times New Roman" w:hAnsi="Times New Roman" w:cs="Times New Roman"/>
          <w:color w:val="000000"/>
          <w:sz w:val="28"/>
          <w:szCs w:val="28"/>
          <w:shd w:val="clear" w:color="auto" w:fill="FFFFFF"/>
          <w:lang w:val="uk-UA"/>
        </w:rPr>
        <w:t xml:space="preserve"> відноситься до своєї ділової репутації та </w:t>
      </w:r>
      <w:r w:rsidR="00325779" w:rsidRPr="008F25EC">
        <w:rPr>
          <w:rFonts w:ascii="Times New Roman" w:hAnsi="Times New Roman" w:cs="Times New Roman"/>
          <w:color w:val="000000"/>
          <w:sz w:val="28"/>
          <w:szCs w:val="28"/>
          <w:shd w:val="clear" w:color="auto" w:fill="FFFFFF"/>
          <w:lang w:val="uk-UA"/>
        </w:rPr>
        <w:t>встановлює внутрішні системи управління ризиками.</w:t>
      </w:r>
    </w:p>
    <w:p w14:paraId="7E3F0C7C" w14:textId="77777777" w:rsidR="00BD3B15" w:rsidRPr="008F25EC" w:rsidRDefault="00BD3B15" w:rsidP="00BD3B15">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4034D7DC" w14:textId="4649FB26" w:rsidR="00325779" w:rsidRPr="008F25EC" w:rsidRDefault="00325779" w:rsidP="008F25EC">
      <w:pPr>
        <w:tabs>
          <w:tab w:val="left" w:pos="1134"/>
        </w:tabs>
        <w:spacing w:before="60" w:after="60" w:line="240" w:lineRule="auto"/>
        <w:ind w:firstLine="709"/>
        <w:jc w:val="both"/>
        <w:rPr>
          <w:rFonts w:ascii="Times New Roman" w:hAnsi="Times New Roman" w:cs="Times New Roman"/>
          <w:i/>
          <w:color w:val="000000"/>
          <w:sz w:val="28"/>
          <w:szCs w:val="28"/>
          <w:shd w:val="clear" w:color="auto" w:fill="FFFFFF"/>
          <w:lang w:val="uk-UA"/>
        </w:rPr>
      </w:pPr>
      <w:r w:rsidRPr="008F25EC">
        <w:rPr>
          <w:rFonts w:ascii="Times New Roman" w:hAnsi="Times New Roman" w:cs="Times New Roman"/>
          <w:i/>
          <w:color w:val="000000"/>
          <w:sz w:val="28"/>
          <w:szCs w:val="28"/>
          <w:shd w:val="clear" w:color="auto" w:fill="FFFFFF"/>
          <w:lang w:val="uk-UA"/>
        </w:rPr>
        <w:t>Приклад 1.</w:t>
      </w:r>
    </w:p>
    <w:tbl>
      <w:tblPr>
        <w:tblStyle w:val="ac"/>
        <w:tblW w:w="0" w:type="auto"/>
        <w:tblLook w:val="04A0" w:firstRow="1" w:lastRow="0" w:firstColumn="1" w:lastColumn="0" w:noHBand="0" w:noVBand="1"/>
      </w:tblPr>
      <w:tblGrid>
        <w:gridCol w:w="4671"/>
        <w:gridCol w:w="4673"/>
      </w:tblGrid>
      <w:tr w:rsidR="00325779" w:rsidRPr="008F25EC" w14:paraId="1AB69DAC" w14:textId="77777777" w:rsidTr="00BD3B15">
        <w:tc>
          <w:tcPr>
            <w:tcW w:w="4672" w:type="dxa"/>
            <w:vAlign w:val="center"/>
          </w:tcPr>
          <w:p w14:paraId="1E47C07C" w14:textId="1F34ADAF" w:rsidR="00325779" w:rsidRPr="008F25EC" w:rsidRDefault="00325779"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Тривалість діяльності</w:t>
            </w:r>
          </w:p>
        </w:tc>
        <w:tc>
          <w:tcPr>
            <w:tcW w:w="4673" w:type="dxa"/>
            <w:vAlign w:val="center"/>
          </w:tcPr>
          <w:p w14:paraId="75E78791" w14:textId="72810550" w:rsidR="00325779" w:rsidRPr="008F25EC" w:rsidRDefault="00DE0342"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Рівень інтенсивності</w:t>
            </w:r>
          </w:p>
          <w:p w14:paraId="41B01230" w14:textId="4E48B518" w:rsidR="00325779" w:rsidRPr="008F25EC" w:rsidRDefault="00325779"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(Ступінь ризику)</w:t>
            </w:r>
          </w:p>
        </w:tc>
      </w:tr>
      <w:tr w:rsidR="00325779" w:rsidRPr="008F25EC" w14:paraId="4F45B4C5" w14:textId="77777777" w:rsidTr="00BD3B15">
        <w:tc>
          <w:tcPr>
            <w:tcW w:w="4672" w:type="dxa"/>
          </w:tcPr>
          <w:p w14:paraId="6ACB87FA" w14:textId="4C8B3FF0" w:rsidR="00325779" w:rsidRPr="008F25EC" w:rsidRDefault="00325779" w:rsidP="00BD3B15">
            <w:pPr>
              <w:tabs>
                <w:tab w:val="left" w:pos="1134"/>
              </w:tabs>
              <w:spacing w:before="60" w:after="6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Більше 10 років</w:t>
            </w:r>
          </w:p>
        </w:tc>
        <w:tc>
          <w:tcPr>
            <w:tcW w:w="4673" w:type="dxa"/>
            <w:vAlign w:val="center"/>
          </w:tcPr>
          <w:p w14:paraId="1D2C8060" w14:textId="1520AEA2" w:rsidR="00325779" w:rsidRPr="008F25EC" w:rsidRDefault="00325779"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1</w:t>
            </w:r>
          </w:p>
        </w:tc>
      </w:tr>
      <w:tr w:rsidR="00325779" w:rsidRPr="008F25EC" w14:paraId="37D7093A" w14:textId="77777777" w:rsidTr="00BD3B15">
        <w:tc>
          <w:tcPr>
            <w:tcW w:w="4672" w:type="dxa"/>
          </w:tcPr>
          <w:p w14:paraId="14C4A924" w14:textId="4F89BA1B" w:rsidR="00325779" w:rsidRPr="008F25EC" w:rsidRDefault="00325779" w:rsidP="00BD3B15">
            <w:pPr>
              <w:tabs>
                <w:tab w:val="left" w:pos="1134"/>
              </w:tabs>
              <w:spacing w:before="60" w:after="6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Від 5 до 10 років</w:t>
            </w:r>
          </w:p>
        </w:tc>
        <w:tc>
          <w:tcPr>
            <w:tcW w:w="4673" w:type="dxa"/>
            <w:vAlign w:val="center"/>
          </w:tcPr>
          <w:p w14:paraId="579986D9" w14:textId="71B574F3" w:rsidR="00325779" w:rsidRPr="008F25EC" w:rsidRDefault="00325779"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2</w:t>
            </w:r>
          </w:p>
        </w:tc>
      </w:tr>
      <w:tr w:rsidR="00325779" w:rsidRPr="008F25EC" w14:paraId="3744D975" w14:textId="77777777" w:rsidTr="00BD3B15">
        <w:tc>
          <w:tcPr>
            <w:tcW w:w="4672" w:type="dxa"/>
          </w:tcPr>
          <w:p w14:paraId="434EBA49" w14:textId="1F1402FF" w:rsidR="00325779" w:rsidRPr="008F25EC" w:rsidRDefault="00325779" w:rsidP="00BD3B15">
            <w:pPr>
              <w:tabs>
                <w:tab w:val="left" w:pos="1134"/>
              </w:tabs>
              <w:spacing w:before="60" w:after="6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До 5 років</w:t>
            </w:r>
          </w:p>
        </w:tc>
        <w:tc>
          <w:tcPr>
            <w:tcW w:w="4673" w:type="dxa"/>
            <w:vAlign w:val="center"/>
          </w:tcPr>
          <w:p w14:paraId="3E4D51B8" w14:textId="45CFA598" w:rsidR="00325779" w:rsidRPr="008F25EC" w:rsidRDefault="00325779"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3</w:t>
            </w:r>
          </w:p>
        </w:tc>
      </w:tr>
    </w:tbl>
    <w:p w14:paraId="36B131D2" w14:textId="77777777" w:rsidR="00325779" w:rsidRPr="008F25EC" w:rsidRDefault="00325779" w:rsidP="00BD3B15">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0EC262AF" w14:textId="2D70AA35" w:rsidR="00E97D08" w:rsidRPr="008F25EC" w:rsidRDefault="00325779"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 наявність порушень законодавства, виявлених при проведенні попереднього заходу державного нагляду (контролю).</w:t>
      </w:r>
    </w:p>
    <w:p w14:paraId="52507C42" w14:textId="4249423C" w:rsidR="00E97D08" w:rsidRDefault="00325779"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Загальне обґрунтування полягає в тому, що відсутність порушень на дату проведення останньої перевірки вказують на готовність суб’єкта </w:t>
      </w:r>
      <w:r w:rsidRPr="008F25EC">
        <w:rPr>
          <w:rFonts w:ascii="Times New Roman" w:hAnsi="Times New Roman" w:cs="Times New Roman"/>
          <w:color w:val="000000"/>
          <w:sz w:val="28"/>
          <w:szCs w:val="28"/>
          <w:shd w:val="clear" w:color="auto" w:fill="FFFFFF"/>
          <w:lang w:val="uk-UA"/>
        </w:rPr>
        <w:lastRenderedPageBreak/>
        <w:t>господарювання дотримуватися закону, що може привести до зниження періодичності проведення планових заходів державного нагляду (контролю). Натомість, недотримання законодавства свідчить про вищий ступінь ризику, притаманний суб’єкту господарювання.</w:t>
      </w:r>
    </w:p>
    <w:p w14:paraId="0F7EDFA7" w14:textId="6A90CC9C" w:rsidR="00BD3B15" w:rsidRPr="008F25EC" w:rsidRDefault="00BD3B15" w:rsidP="00BD3B15">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2CCD6B1B" w14:textId="48F5DF01" w:rsidR="00325779" w:rsidRPr="008F25EC" w:rsidRDefault="00325779" w:rsidP="008F25EC">
      <w:pPr>
        <w:tabs>
          <w:tab w:val="left" w:pos="1134"/>
        </w:tabs>
        <w:spacing w:before="60" w:after="60" w:line="240" w:lineRule="auto"/>
        <w:ind w:firstLine="709"/>
        <w:jc w:val="both"/>
        <w:rPr>
          <w:rFonts w:ascii="Times New Roman" w:hAnsi="Times New Roman" w:cs="Times New Roman"/>
          <w:i/>
          <w:color w:val="000000"/>
          <w:sz w:val="28"/>
          <w:szCs w:val="28"/>
          <w:shd w:val="clear" w:color="auto" w:fill="FFFFFF"/>
          <w:lang w:val="uk-UA"/>
        </w:rPr>
      </w:pPr>
      <w:r w:rsidRPr="008F25EC">
        <w:rPr>
          <w:rFonts w:ascii="Times New Roman" w:hAnsi="Times New Roman" w:cs="Times New Roman"/>
          <w:i/>
          <w:color w:val="000000"/>
          <w:sz w:val="28"/>
          <w:szCs w:val="28"/>
          <w:shd w:val="clear" w:color="auto" w:fill="FFFFFF"/>
          <w:lang w:val="uk-UA"/>
        </w:rPr>
        <w:t>Приклад 2.</w:t>
      </w:r>
    </w:p>
    <w:tbl>
      <w:tblPr>
        <w:tblStyle w:val="ac"/>
        <w:tblW w:w="0" w:type="auto"/>
        <w:tblLook w:val="04A0" w:firstRow="1" w:lastRow="0" w:firstColumn="1" w:lastColumn="0" w:noHBand="0" w:noVBand="1"/>
      </w:tblPr>
      <w:tblGrid>
        <w:gridCol w:w="4672"/>
        <w:gridCol w:w="4672"/>
      </w:tblGrid>
      <w:tr w:rsidR="00325779" w:rsidRPr="008F25EC" w14:paraId="534B7C4D" w14:textId="77777777" w:rsidTr="00BD3B15">
        <w:tc>
          <w:tcPr>
            <w:tcW w:w="4672" w:type="dxa"/>
          </w:tcPr>
          <w:p w14:paraId="4916F58C" w14:textId="2313C731" w:rsidR="00325779" w:rsidRPr="008F25EC" w:rsidRDefault="00325779"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Порушення, виявлені протягом останньої перевірки</w:t>
            </w:r>
          </w:p>
        </w:tc>
        <w:tc>
          <w:tcPr>
            <w:tcW w:w="4673" w:type="dxa"/>
            <w:vAlign w:val="center"/>
          </w:tcPr>
          <w:p w14:paraId="10D6C764" w14:textId="5E265E38" w:rsidR="00325779" w:rsidRPr="008F25EC" w:rsidRDefault="00325779"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Рівень інтенсивності</w:t>
            </w:r>
          </w:p>
          <w:p w14:paraId="1AABFE67" w14:textId="77777777" w:rsidR="00325779" w:rsidRPr="008F25EC" w:rsidRDefault="00325779" w:rsidP="00BD3B15">
            <w:pPr>
              <w:tabs>
                <w:tab w:val="left" w:pos="1134"/>
              </w:tabs>
              <w:spacing w:before="60" w:after="6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(Ступінь ризику)</w:t>
            </w:r>
          </w:p>
        </w:tc>
      </w:tr>
      <w:tr w:rsidR="00325779" w:rsidRPr="008F25EC" w14:paraId="678D5496" w14:textId="77777777" w:rsidTr="00BD3B15">
        <w:tc>
          <w:tcPr>
            <w:tcW w:w="4672" w:type="dxa"/>
          </w:tcPr>
          <w:p w14:paraId="11EC695F" w14:textId="711C8644" w:rsidR="00325779" w:rsidRPr="008F25EC" w:rsidRDefault="00325779" w:rsidP="00227A9E">
            <w:pPr>
              <w:tabs>
                <w:tab w:val="left" w:pos="1134"/>
              </w:tabs>
              <w:spacing w:before="60" w:after="60"/>
              <w:rPr>
                <w:rFonts w:ascii="Times New Roman" w:hAnsi="Times New Roman" w:cs="Times New Roman"/>
                <w:color w:val="000000"/>
                <w:sz w:val="28"/>
                <w:szCs w:val="28"/>
                <w:shd w:val="clear" w:color="auto" w:fill="FFFFFF"/>
                <w:lang w:val="uk-UA"/>
              </w:rPr>
            </w:pPr>
            <w:bookmarkStart w:id="13" w:name="_GoBack" w:colFirst="0" w:colLast="0"/>
            <w:r w:rsidRPr="008F25EC">
              <w:rPr>
                <w:rFonts w:ascii="Times New Roman" w:hAnsi="Times New Roman" w:cs="Times New Roman"/>
                <w:color w:val="000000"/>
                <w:sz w:val="28"/>
                <w:szCs w:val="28"/>
                <w:shd w:val="clear" w:color="auto" w:fill="FFFFFF"/>
                <w:lang w:val="uk-UA"/>
              </w:rPr>
              <w:t>Були встановлені незначні порушення, що не становлять складу правопорушення або злочину; або виявлені порушення становлять склад правопорушення, але не завдають шкоди третім особам.</w:t>
            </w:r>
          </w:p>
        </w:tc>
        <w:tc>
          <w:tcPr>
            <w:tcW w:w="4673" w:type="dxa"/>
            <w:vAlign w:val="center"/>
          </w:tcPr>
          <w:p w14:paraId="35931B5B" w14:textId="77777777" w:rsidR="00325779" w:rsidRPr="008F25EC" w:rsidRDefault="00325779"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1</w:t>
            </w:r>
          </w:p>
        </w:tc>
      </w:tr>
      <w:tr w:rsidR="00325779" w:rsidRPr="008F25EC" w14:paraId="1461BE9E" w14:textId="77777777" w:rsidTr="00BD3B15">
        <w:tc>
          <w:tcPr>
            <w:tcW w:w="4672" w:type="dxa"/>
          </w:tcPr>
          <w:p w14:paraId="33F2F93A" w14:textId="0F1A756F" w:rsidR="00325779" w:rsidRPr="008F25EC" w:rsidRDefault="00325779"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Були встановлені порушення, що становлять склад правопорушення і спричинили шкоду третім особам.</w:t>
            </w:r>
          </w:p>
        </w:tc>
        <w:tc>
          <w:tcPr>
            <w:tcW w:w="4673" w:type="dxa"/>
            <w:vAlign w:val="center"/>
          </w:tcPr>
          <w:p w14:paraId="0B4FEDC8" w14:textId="77777777" w:rsidR="00325779" w:rsidRPr="008F25EC" w:rsidRDefault="00325779"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2</w:t>
            </w:r>
          </w:p>
        </w:tc>
      </w:tr>
      <w:tr w:rsidR="00325779" w:rsidRPr="008F25EC" w14:paraId="122F63A0" w14:textId="77777777" w:rsidTr="00BD3B15">
        <w:trPr>
          <w:trHeight w:val="1367"/>
        </w:trPr>
        <w:tc>
          <w:tcPr>
            <w:tcW w:w="4672" w:type="dxa"/>
          </w:tcPr>
          <w:p w14:paraId="04DA6647" w14:textId="4D257C50" w:rsidR="00325779" w:rsidRPr="008F25EC" w:rsidRDefault="00325779" w:rsidP="00227A9E">
            <w:pPr>
              <w:tabs>
                <w:tab w:val="left" w:pos="1134"/>
              </w:tabs>
              <w:spacing w:before="60" w:after="60"/>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Були встановлені порушення, що становлять склад правопорушення і спричинили значну шкоду третім особам.</w:t>
            </w:r>
          </w:p>
        </w:tc>
        <w:tc>
          <w:tcPr>
            <w:tcW w:w="4673" w:type="dxa"/>
            <w:vAlign w:val="center"/>
          </w:tcPr>
          <w:p w14:paraId="49927215" w14:textId="77777777" w:rsidR="00325779" w:rsidRPr="008F25EC" w:rsidRDefault="00325779" w:rsidP="00BD3B15">
            <w:pPr>
              <w:tabs>
                <w:tab w:val="left" w:pos="1134"/>
              </w:tabs>
              <w:spacing w:before="60" w:after="6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3</w:t>
            </w:r>
          </w:p>
        </w:tc>
      </w:tr>
      <w:bookmarkEnd w:id="13"/>
    </w:tbl>
    <w:p w14:paraId="321EDFE8" w14:textId="77777777" w:rsidR="00325779" w:rsidRPr="008F25EC" w:rsidRDefault="00325779"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p>
    <w:p w14:paraId="74BBE204" w14:textId="35152014" w:rsidR="00E97D08" w:rsidRDefault="00492F81"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У разі потрапляння суб’єкта господарювання одразу на кілька рівнів в межах одного критерію, йому присвоюється вищий рівень інтенсивності ризику.</w:t>
      </w:r>
    </w:p>
    <w:p w14:paraId="067C5EA9" w14:textId="77777777" w:rsidR="00BD3B15" w:rsidRPr="00BD3B15" w:rsidRDefault="00BD3B15" w:rsidP="00BD3B15">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66DA9ED3" w14:textId="7846B0EA" w:rsidR="00E97D08" w:rsidRPr="00BD3B15" w:rsidRDefault="00BD3B15"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 xml:space="preserve"> </w:t>
      </w:r>
      <w:r w:rsidR="00B10C78" w:rsidRPr="00BD3B15">
        <w:rPr>
          <w:rFonts w:ascii="Times New Roman" w:hAnsi="Times New Roman" w:cs="Times New Roman"/>
          <w:b/>
          <w:sz w:val="28"/>
          <w:szCs w:val="28"/>
          <w:lang w:val="uk-UA"/>
        </w:rPr>
        <w:t>Зважування (оцінювання)</w:t>
      </w:r>
      <w:r w:rsidR="004200CA" w:rsidRPr="00BD3B15">
        <w:rPr>
          <w:rFonts w:ascii="Times New Roman" w:hAnsi="Times New Roman" w:cs="Times New Roman"/>
          <w:b/>
          <w:sz w:val="28"/>
          <w:szCs w:val="28"/>
          <w:lang w:val="uk-UA"/>
        </w:rPr>
        <w:t xml:space="preserve"> критеріїв</w:t>
      </w:r>
    </w:p>
    <w:p w14:paraId="6C0BE9BA" w14:textId="462480BB" w:rsidR="00E97D08" w:rsidRPr="008F25EC" w:rsidRDefault="00B10C78"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Для кожного </w:t>
      </w:r>
      <w:r w:rsidR="004200CA" w:rsidRPr="008F25EC">
        <w:rPr>
          <w:rFonts w:ascii="Times New Roman" w:hAnsi="Times New Roman" w:cs="Times New Roman"/>
          <w:color w:val="000000"/>
          <w:sz w:val="28"/>
          <w:szCs w:val="28"/>
          <w:shd w:val="clear" w:color="auto" w:fill="FFFFFF"/>
          <w:lang w:val="uk-UA"/>
        </w:rPr>
        <w:t>критерію встановлюється вагомість</w:t>
      </w:r>
      <w:r w:rsidRPr="008F25EC">
        <w:rPr>
          <w:rFonts w:ascii="Times New Roman" w:hAnsi="Times New Roman" w:cs="Times New Roman"/>
          <w:color w:val="000000"/>
          <w:sz w:val="28"/>
          <w:szCs w:val="28"/>
          <w:shd w:val="clear" w:color="auto" w:fill="FFFFFF"/>
          <w:lang w:val="uk-UA"/>
        </w:rPr>
        <w:t xml:space="preserve"> відносно інших обраних критеріїв, беручи до уваги важливість конкретного критерію в конкретній сфері нагляду (контролю). Таким чином, ті самі критерії можуть мати різну </w:t>
      </w:r>
      <w:proofErr w:type="spellStart"/>
      <w:r w:rsidRPr="008F25EC">
        <w:rPr>
          <w:rFonts w:ascii="Times New Roman" w:hAnsi="Times New Roman" w:cs="Times New Roman"/>
          <w:color w:val="000000"/>
          <w:sz w:val="28"/>
          <w:szCs w:val="28"/>
          <w:shd w:val="clear" w:color="auto" w:fill="FFFFFF"/>
          <w:lang w:val="uk-UA"/>
        </w:rPr>
        <w:t>релевантність</w:t>
      </w:r>
      <w:proofErr w:type="spellEnd"/>
      <w:r w:rsidRPr="008F25EC">
        <w:rPr>
          <w:rFonts w:ascii="Times New Roman" w:hAnsi="Times New Roman" w:cs="Times New Roman"/>
          <w:color w:val="000000"/>
          <w:sz w:val="28"/>
          <w:szCs w:val="28"/>
          <w:shd w:val="clear" w:color="auto" w:fill="FFFFFF"/>
          <w:lang w:val="uk-UA"/>
        </w:rPr>
        <w:t xml:space="preserve">, і, відповідно, </w:t>
      </w:r>
      <w:r w:rsidR="004200CA" w:rsidRPr="008F25EC">
        <w:rPr>
          <w:rFonts w:ascii="Times New Roman" w:hAnsi="Times New Roman" w:cs="Times New Roman"/>
          <w:color w:val="000000"/>
          <w:sz w:val="28"/>
          <w:szCs w:val="28"/>
          <w:shd w:val="clear" w:color="auto" w:fill="FFFFFF"/>
          <w:lang w:val="uk-UA"/>
        </w:rPr>
        <w:t>різну вагомість</w:t>
      </w:r>
      <w:r w:rsidRPr="008F25EC">
        <w:rPr>
          <w:rFonts w:ascii="Times New Roman" w:hAnsi="Times New Roman" w:cs="Times New Roman"/>
          <w:color w:val="000000"/>
          <w:sz w:val="28"/>
          <w:szCs w:val="28"/>
          <w:shd w:val="clear" w:color="auto" w:fill="FFFFFF"/>
          <w:lang w:val="uk-UA"/>
        </w:rPr>
        <w:t xml:space="preserve"> </w:t>
      </w:r>
      <w:r w:rsidR="004200CA" w:rsidRPr="008F25EC">
        <w:rPr>
          <w:rFonts w:ascii="Times New Roman" w:hAnsi="Times New Roman" w:cs="Times New Roman"/>
          <w:color w:val="000000"/>
          <w:sz w:val="28"/>
          <w:szCs w:val="28"/>
          <w:shd w:val="clear" w:color="auto" w:fill="FFFFFF"/>
          <w:lang w:val="uk-UA"/>
        </w:rPr>
        <w:t xml:space="preserve">в </w:t>
      </w:r>
      <w:r w:rsidRPr="008F25EC">
        <w:rPr>
          <w:rFonts w:ascii="Times New Roman" w:hAnsi="Times New Roman" w:cs="Times New Roman"/>
          <w:color w:val="000000"/>
          <w:sz w:val="28"/>
          <w:szCs w:val="28"/>
          <w:shd w:val="clear" w:color="auto" w:fill="FFFFFF"/>
          <w:lang w:val="uk-UA"/>
        </w:rPr>
        <w:t>різних сферах нагляду (контролю).</w:t>
      </w:r>
    </w:p>
    <w:p w14:paraId="2012860C" w14:textId="329B1A6F" w:rsidR="00E97D08" w:rsidRDefault="00B10C78"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Сумарна </w:t>
      </w:r>
      <w:r w:rsidR="004200CA" w:rsidRPr="008F25EC">
        <w:rPr>
          <w:rFonts w:ascii="Times New Roman" w:hAnsi="Times New Roman" w:cs="Times New Roman"/>
          <w:color w:val="000000"/>
          <w:sz w:val="28"/>
          <w:szCs w:val="28"/>
          <w:shd w:val="clear" w:color="auto" w:fill="FFFFFF"/>
          <w:lang w:val="uk-UA"/>
        </w:rPr>
        <w:t>вагомість</w:t>
      </w:r>
      <w:r w:rsidRPr="008F25EC">
        <w:rPr>
          <w:rFonts w:ascii="Times New Roman" w:hAnsi="Times New Roman" w:cs="Times New Roman"/>
          <w:color w:val="000000"/>
          <w:sz w:val="28"/>
          <w:szCs w:val="28"/>
          <w:shd w:val="clear" w:color="auto" w:fill="FFFFFF"/>
          <w:lang w:val="uk-UA"/>
        </w:rPr>
        <w:t xml:space="preserve"> всіх критеріїв </w:t>
      </w:r>
      <w:r w:rsidR="004200CA" w:rsidRPr="008F25EC">
        <w:rPr>
          <w:rFonts w:ascii="Times New Roman" w:hAnsi="Times New Roman" w:cs="Times New Roman"/>
          <w:color w:val="000000"/>
          <w:sz w:val="28"/>
          <w:szCs w:val="28"/>
          <w:shd w:val="clear" w:color="auto" w:fill="FFFFFF"/>
          <w:lang w:val="uk-UA"/>
        </w:rPr>
        <w:t>становить одиницю. Таким чином, при збільшенні вагомості одного критерію, для інших критеріїв вона відповідно зменшується.</w:t>
      </w:r>
    </w:p>
    <w:p w14:paraId="0351ED58" w14:textId="77777777" w:rsidR="00BD3B15" w:rsidRPr="00BD3B15" w:rsidRDefault="00BD3B15" w:rsidP="00BD3B15">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57544988" w14:textId="117AD57E" w:rsidR="004200CA" w:rsidRPr="008F25EC" w:rsidRDefault="004200CA"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i/>
          <w:color w:val="000000"/>
          <w:sz w:val="28"/>
          <w:szCs w:val="28"/>
          <w:shd w:val="clear" w:color="auto" w:fill="FFFFFF"/>
          <w:lang w:val="uk-UA"/>
        </w:rPr>
      </w:pPr>
      <w:r w:rsidRPr="008F25EC">
        <w:rPr>
          <w:rFonts w:ascii="Times New Roman" w:hAnsi="Times New Roman" w:cs="Times New Roman"/>
          <w:i/>
          <w:color w:val="000000"/>
          <w:sz w:val="28"/>
          <w:szCs w:val="28"/>
          <w:shd w:val="clear" w:color="auto" w:fill="FFFFFF"/>
          <w:lang w:val="uk-UA"/>
        </w:rPr>
        <w:t>Приклад 4.</w:t>
      </w:r>
    </w:p>
    <w:tbl>
      <w:tblPr>
        <w:tblStyle w:val="ac"/>
        <w:tblW w:w="0" w:type="auto"/>
        <w:tblInd w:w="-5" w:type="dxa"/>
        <w:tblLook w:val="04A0" w:firstRow="1" w:lastRow="0" w:firstColumn="1" w:lastColumn="0" w:noHBand="0" w:noVBand="1"/>
      </w:tblPr>
      <w:tblGrid>
        <w:gridCol w:w="4674"/>
        <w:gridCol w:w="4675"/>
      </w:tblGrid>
      <w:tr w:rsidR="004200CA" w:rsidRPr="008F25EC" w14:paraId="46ABFB98" w14:textId="77777777" w:rsidTr="00BD3B15">
        <w:tc>
          <w:tcPr>
            <w:tcW w:w="4674" w:type="dxa"/>
            <w:vAlign w:val="center"/>
          </w:tcPr>
          <w:p w14:paraId="4ABEEB6E" w14:textId="2E91A8BA"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Критерії</w:t>
            </w:r>
          </w:p>
        </w:tc>
        <w:tc>
          <w:tcPr>
            <w:tcW w:w="4675" w:type="dxa"/>
            <w:vAlign w:val="center"/>
          </w:tcPr>
          <w:p w14:paraId="195AAD03" w14:textId="37281D51"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Приклад</w:t>
            </w:r>
          </w:p>
        </w:tc>
      </w:tr>
      <w:tr w:rsidR="004200CA" w:rsidRPr="008F25EC" w14:paraId="58E8E6AF" w14:textId="77777777" w:rsidTr="00BD3B15">
        <w:tc>
          <w:tcPr>
            <w:tcW w:w="4674" w:type="dxa"/>
          </w:tcPr>
          <w:p w14:paraId="4EDFD634" w14:textId="639C14D8" w:rsidR="004200CA" w:rsidRPr="008F25EC" w:rsidRDefault="004200CA" w:rsidP="00BD3B15">
            <w:pPr>
              <w:pStyle w:val="a3"/>
              <w:tabs>
                <w:tab w:val="left" w:pos="993"/>
                <w:tab w:val="left" w:pos="1134"/>
              </w:tabs>
              <w:spacing w:before="60" w:after="60"/>
              <w:ind w:left="0"/>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Критерій № 1</w:t>
            </w:r>
          </w:p>
        </w:tc>
        <w:tc>
          <w:tcPr>
            <w:tcW w:w="4675" w:type="dxa"/>
          </w:tcPr>
          <w:p w14:paraId="7C295683" w14:textId="1FF2D11F"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0,3</w:t>
            </w:r>
          </w:p>
        </w:tc>
      </w:tr>
      <w:tr w:rsidR="004200CA" w:rsidRPr="008F25EC" w14:paraId="17946F43" w14:textId="77777777" w:rsidTr="00BD3B15">
        <w:tc>
          <w:tcPr>
            <w:tcW w:w="4674" w:type="dxa"/>
          </w:tcPr>
          <w:p w14:paraId="79E6B497" w14:textId="6E9BB2E9" w:rsidR="004200CA" w:rsidRPr="008F25EC" w:rsidRDefault="004200CA" w:rsidP="00BD3B15">
            <w:pPr>
              <w:pStyle w:val="a3"/>
              <w:tabs>
                <w:tab w:val="left" w:pos="993"/>
                <w:tab w:val="left" w:pos="1134"/>
              </w:tabs>
              <w:spacing w:before="60" w:after="60"/>
              <w:ind w:left="0"/>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Критерій № 2</w:t>
            </w:r>
          </w:p>
        </w:tc>
        <w:tc>
          <w:tcPr>
            <w:tcW w:w="4675" w:type="dxa"/>
          </w:tcPr>
          <w:p w14:paraId="22AB1013" w14:textId="414D62CF"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0,3</w:t>
            </w:r>
          </w:p>
        </w:tc>
      </w:tr>
      <w:tr w:rsidR="004200CA" w:rsidRPr="008F25EC" w14:paraId="2350C498" w14:textId="77777777" w:rsidTr="00BD3B15">
        <w:tc>
          <w:tcPr>
            <w:tcW w:w="4674" w:type="dxa"/>
          </w:tcPr>
          <w:p w14:paraId="347D2652" w14:textId="316A359C" w:rsidR="004200CA" w:rsidRPr="008F25EC" w:rsidRDefault="004200CA" w:rsidP="00BD3B15">
            <w:pPr>
              <w:pStyle w:val="a3"/>
              <w:tabs>
                <w:tab w:val="left" w:pos="993"/>
                <w:tab w:val="left" w:pos="1134"/>
              </w:tabs>
              <w:spacing w:before="60" w:after="60"/>
              <w:ind w:left="0"/>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Критерій № 3</w:t>
            </w:r>
          </w:p>
        </w:tc>
        <w:tc>
          <w:tcPr>
            <w:tcW w:w="4675" w:type="dxa"/>
          </w:tcPr>
          <w:p w14:paraId="4033EE7B" w14:textId="50D48327"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0,1</w:t>
            </w:r>
          </w:p>
        </w:tc>
      </w:tr>
      <w:tr w:rsidR="004200CA" w:rsidRPr="008F25EC" w14:paraId="773104CA" w14:textId="77777777" w:rsidTr="00BD3B15">
        <w:tc>
          <w:tcPr>
            <w:tcW w:w="4674" w:type="dxa"/>
          </w:tcPr>
          <w:p w14:paraId="6C92C1E0" w14:textId="1958B788" w:rsidR="004200CA" w:rsidRPr="008F25EC" w:rsidRDefault="004200CA" w:rsidP="00BD3B15">
            <w:pPr>
              <w:pStyle w:val="a3"/>
              <w:tabs>
                <w:tab w:val="left" w:pos="993"/>
                <w:tab w:val="left" w:pos="1134"/>
              </w:tabs>
              <w:spacing w:before="60" w:after="60"/>
              <w:ind w:left="0"/>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Критерій № 4</w:t>
            </w:r>
          </w:p>
        </w:tc>
        <w:tc>
          <w:tcPr>
            <w:tcW w:w="4675" w:type="dxa"/>
          </w:tcPr>
          <w:p w14:paraId="5524933A" w14:textId="03B854DA"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0,2</w:t>
            </w:r>
          </w:p>
        </w:tc>
      </w:tr>
      <w:tr w:rsidR="004200CA" w:rsidRPr="008F25EC" w14:paraId="6676090C" w14:textId="77777777" w:rsidTr="00BD3B15">
        <w:tc>
          <w:tcPr>
            <w:tcW w:w="4674" w:type="dxa"/>
          </w:tcPr>
          <w:p w14:paraId="7DEF91A1" w14:textId="4E57FDFD" w:rsidR="004200CA" w:rsidRPr="008F25EC" w:rsidRDefault="004200CA" w:rsidP="00BD3B15">
            <w:pPr>
              <w:pStyle w:val="a3"/>
              <w:tabs>
                <w:tab w:val="left" w:pos="993"/>
                <w:tab w:val="left" w:pos="1134"/>
              </w:tabs>
              <w:spacing w:before="60" w:after="60"/>
              <w:ind w:left="0"/>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Критерій № 5</w:t>
            </w:r>
          </w:p>
        </w:tc>
        <w:tc>
          <w:tcPr>
            <w:tcW w:w="4675" w:type="dxa"/>
          </w:tcPr>
          <w:p w14:paraId="6AB2BFD4" w14:textId="519BCEF7"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0,1</w:t>
            </w:r>
          </w:p>
        </w:tc>
      </w:tr>
      <w:tr w:rsidR="004200CA" w:rsidRPr="008F25EC" w14:paraId="40FC61D8" w14:textId="77777777" w:rsidTr="00BD3B15">
        <w:tc>
          <w:tcPr>
            <w:tcW w:w="4674" w:type="dxa"/>
          </w:tcPr>
          <w:p w14:paraId="37ACA3A2" w14:textId="2D42827F" w:rsidR="004200CA" w:rsidRPr="008F25EC" w:rsidRDefault="004200CA" w:rsidP="00BD3B15">
            <w:pPr>
              <w:pStyle w:val="a3"/>
              <w:tabs>
                <w:tab w:val="left" w:pos="993"/>
                <w:tab w:val="left" w:pos="1134"/>
              </w:tabs>
              <w:spacing w:before="60" w:after="60"/>
              <w:ind w:left="0"/>
              <w:contextualSpacing w:val="0"/>
              <w:jc w:val="both"/>
              <w:rPr>
                <w:rFonts w:ascii="Times New Roman" w:hAnsi="Times New Roman" w:cs="Times New Roman"/>
                <w:b/>
                <w:color w:val="000000"/>
                <w:sz w:val="28"/>
                <w:szCs w:val="28"/>
                <w:shd w:val="clear" w:color="auto" w:fill="FFFFFF"/>
                <w:lang w:val="uk-UA"/>
              </w:rPr>
            </w:pPr>
            <w:r w:rsidRPr="008F25EC">
              <w:rPr>
                <w:rFonts w:ascii="Times New Roman" w:hAnsi="Times New Roman" w:cs="Times New Roman"/>
                <w:b/>
                <w:color w:val="000000"/>
                <w:sz w:val="28"/>
                <w:szCs w:val="28"/>
                <w:shd w:val="clear" w:color="auto" w:fill="FFFFFF"/>
                <w:lang w:val="uk-UA"/>
              </w:rPr>
              <w:t>Всього</w:t>
            </w:r>
          </w:p>
        </w:tc>
        <w:tc>
          <w:tcPr>
            <w:tcW w:w="4675" w:type="dxa"/>
          </w:tcPr>
          <w:p w14:paraId="750E4F12" w14:textId="6B95129B" w:rsidR="004200CA" w:rsidRPr="008F25EC" w:rsidRDefault="004200CA" w:rsidP="00BD3B15">
            <w:pPr>
              <w:pStyle w:val="a3"/>
              <w:tabs>
                <w:tab w:val="left" w:pos="993"/>
                <w:tab w:val="left" w:pos="1134"/>
              </w:tabs>
              <w:spacing w:before="60" w:after="60"/>
              <w:ind w:left="0"/>
              <w:contextualSpacing w:val="0"/>
              <w:jc w:val="center"/>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1</w:t>
            </w:r>
          </w:p>
        </w:tc>
      </w:tr>
    </w:tbl>
    <w:p w14:paraId="76AE22D2" w14:textId="77777777" w:rsidR="004200CA" w:rsidRPr="00BD3B15" w:rsidRDefault="004200CA" w:rsidP="00BD3B15">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01AD4F68" w14:textId="0D552701" w:rsidR="00E97D08" w:rsidRPr="008F25EC" w:rsidRDefault="004200CA"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Сумарна вагомість обов’язкових критеріїв, зазначених в пункті </w:t>
      </w:r>
      <w:r w:rsidRPr="008F25EC">
        <w:rPr>
          <w:rFonts w:ascii="Times New Roman" w:hAnsi="Times New Roman" w:cs="Times New Roman"/>
          <w:color w:val="000000"/>
          <w:sz w:val="28"/>
          <w:szCs w:val="28"/>
          <w:shd w:val="clear" w:color="auto" w:fill="FFFFFF"/>
          <w:lang w:val="uk-UA"/>
        </w:rPr>
        <w:fldChar w:fldCharType="begin"/>
      </w:r>
      <w:r w:rsidRPr="008F25EC">
        <w:rPr>
          <w:rFonts w:ascii="Times New Roman" w:hAnsi="Times New Roman" w:cs="Times New Roman"/>
          <w:color w:val="000000"/>
          <w:sz w:val="28"/>
          <w:szCs w:val="28"/>
          <w:shd w:val="clear" w:color="auto" w:fill="FFFFFF"/>
          <w:lang w:val="uk-UA"/>
        </w:rPr>
        <w:instrText xml:space="preserve"> REF _Ref476552212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Pr="008F25EC">
        <w:rPr>
          <w:rFonts w:ascii="Times New Roman" w:hAnsi="Times New Roman" w:cs="Times New Roman"/>
          <w:color w:val="000000"/>
          <w:sz w:val="28"/>
          <w:szCs w:val="28"/>
          <w:shd w:val="clear" w:color="auto" w:fill="FFFFFF"/>
          <w:lang w:val="uk-UA"/>
        </w:rPr>
      </w:r>
      <w:r w:rsidRPr="008F25EC">
        <w:rPr>
          <w:rFonts w:ascii="Times New Roman" w:hAnsi="Times New Roman" w:cs="Times New Roman"/>
          <w:color w:val="000000"/>
          <w:sz w:val="28"/>
          <w:szCs w:val="28"/>
          <w:shd w:val="clear" w:color="auto" w:fill="FFFFFF"/>
          <w:lang w:val="uk-UA"/>
        </w:rPr>
        <w:fldChar w:fldCharType="separate"/>
      </w:r>
      <w:r w:rsidRPr="008F25EC">
        <w:rPr>
          <w:rFonts w:ascii="Times New Roman" w:hAnsi="Times New Roman" w:cs="Times New Roman"/>
          <w:color w:val="000000"/>
          <w:sz w:val="28"/>
          <w:szCs w:val="28"/>
          <w:shd w:val="clear" w:color="auto" w:fill="FFFFFF"/>
          <w:lang w:val="uk-UA"/>
        </w:rPr>
        <w:t>27</w:t>
      </w:r>
      <w:r w:rsidRPr="008F25EC">
        <w:rPr>
          <w:rFonts w:ascii="Times New Roman" w:hAnsi="Times New Roman" w:cs="Times New Roman"/>
          <w:color w:val="000000"/>
          <w:sz w:val="28"/>
          <w:szCs w:val="28"/>
          <w:shd w:val="clear" w:color="auto" w:fill="FFFFFF"/>
          <w:lang w:val="uk-UA"/>
        </w:rPr>
        <w:fldChar w:fldCharType="end"/>
      </w:r>
      <w:r w:rsidRPr="008F25EC">
        <w:rPr>
          <w:rFonts w:ascii="Times New Roman" w:hAnsi="Times New Roman" w:cs="Times New Roman"/>
          <w:color w:val="000000"/>
          <w:sz w:val="28"/>
          <w:szCs w:val="28"/>
          <w:shd w:val="clear" w:color="auto" w:fill="FFFFFF"/>
          <w:lang w:val="uk-UA"/>
        </w:rPr>
        <w:t>, не повинна бути меншою за 0,5. Вагомість кожного обраного критерію не повинна бути меншою 0,1.</w:t>
      </w:r>
    </w:p>
    <w:p w14:paraId="70CC0279" w14:textId="477209BB" w:rsidR="00E97D08" w:rsidRPr="008F25EC" w:rsidRDefault="005166B7"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При визначенні вагомості кожного критерію слід взяти до уваги:</w:t>
      </w:r>
    </w:p>
    <w:p w14:paraId="5D87D6EA" w14:textId="0C3CDB3B" w:rsidR="00E97D08" w:rsidRPr="008F25EC" w:rsidRDefault="005166B7"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ціль і мету діяльності органу державного нагляду (контролю);</w:t>
      </w:r>
    </w:p>
    <w:p w14:paraId="3F4CC29F" w14:textId="154BB66B" w:rsidR="00E97D08" w:rsidRPr="008F25EC" w:rsidRDefault="005166B7"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вплив обраного критерію на негативні наслідки, яких слід уникнути;</w:t>
      </w:r>
    </w:p>
    <w:p w14:paraId="7ED33203" w14:textId="23F6EF54" w:rsidR="00E97D08" w:rsidRPr="008F25EC" w:rsidRDefault="005166B7"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багатоманітність джерел ризику.</w:t>
      </w:r>
    </w:p>
    <w:p w14:paraId="07329EA5" w14:textId="46428198" w:rsidR="00E97D08" w:rsidRDefault="005166B7"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Вагомість критеріїв ризику підлягає перегляду в порядку, передбаченому Розділом VIII цієї Методики.</w:t>
      </w:r>
    </w:p>
    <w:p w14:paraId="00726DCD" w14:textId="77777777" w:rsidR="00BD3B15" w:rsidRPr="00BD3B15" w:rsidRDefault="00BD3B15" w:rsidP="00BD3B15">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10B30B3F" w14:textId="104C9D1C" w:rsidR="00BD3B15" w:rsidRPr="00BD3B15" w:rsidRDefault="00BD3B15"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 xml:space="preserve"> </w:t>
      </w:r>
      <w:r w:rsidR="00E74ADB" w:rsidRPr="00BD3B15">
        <w:rPr>
          <w:rFonts w:ascii="Times New Roman" w:hAnsi="Times New Roman" w:cs="Times New Roman"/>
          <w:b/>
          <w:sz w:val="28"/>
          <w:szCs w:val="28"/>
          <w:lang w:val="uk-UA"/>
        </w:rPr>
        <w:t>Вимоги щодо віднесення суб’єктів господарювання</w:t>
      </w:r>
      <w:r w:rsidRPr="00BD3B15">
        <w:rPr>
          <w:rFonts w:ascii="Times New Roman" w:hAnsi="Times New Roman" w:cs="Times New Roman"/>
          <w:b/>
          <w:sz w:val="28"/>
          <w:szCs w:val="28"/>
          <w:lang w:val="uk-UA"/>
        </w:rPr>
        <w:t xml:space="preserve"> </w:t>
      </w:r>
      <w:r w:rsidR="00E74ADB" w:rsidRPr="00BD3B15">
        <w:rPr>
          <w:rFonts w:ascii="Times New Roman" w:hAnsi="Times New Roman" w:cs="Times New Roman"/>
          <w:b/>
          <w:sz w:val="28"/>
          <w:szCs w:val="28"/>
          <w:lang w:val="uk-UA"/>
        </w:rPr>
        <w:t>до ступенів ризику</w:t>
      </w:r>
      <w:bookmarkStart w:id="14" w:name="_Ref476061579"/>
    </w:p>
    <w:p w14:paraId="59AA8425" w14:textId="5DEDBFE9"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До кожного ступеня ризику повинно бути віднесено:</w:t>
      </w:r>
      <w:bookmarkEnd w:id="14"/>
    </w:p>
    <w:p w14:paraId="7D9C7287" w14:textId="5CBAA9A0"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до високого ступеня ризику </w:t>
      </w:r>
      <w:r w:rsidR="005E3CB4" w:rsidRPr="008F25EC">
        <w:rPr>
          <w:rFonts w:ascii="Times New Roman" w:hAnsi="Times New Roman" w:cs="Times New Roman"/>
          <w:color w:val="000000"/>
          <w:sz w:val="28"/>
          <w:szCs w:val="28"/>
          <w:shd w:val="clear" w:color="auto" w:fill="FFFFFF"/>
          <w:lang w:val="uk-UA"/>
        </w:rPr>
        <w:t>–</w:t>
      </w:r>
      <w:r w:rsidRPr="008F25EC">
        <w:rPr>
          <w:rFonts w:ascii="Times New Roman" w:hAnsi="Times New Roman" w:cs="Times New Roman"/>
          <w:color w:val="000000"/>
          <w:sz w:val="28"/>
          <w:szCs w:val="28"/>
          <w:shd w:val="clear" w:color="auto" w:fill="FFFFFF"/>
          <w:lang w:val="uk-UA"/>
        </w:rPr>
        <w:t xml:space="preserve"> до 10 відсотків суб’єктів господарювання;</w:t>
      </w:r>
    </w:p>
    <w:p w14:paraId="75E2A53E" w14:textId="272BFFE2"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до середнього ступеня ризику </w:t>
      </w:r>
      <w:r w:rsidR="005E3CB4" w:rsidRPr="008F25EC">
        <w:rPr>
          <w:rFonts w:ascii="Times New Roman" w:hAnsi="Times New Roman" w:cs="Times New Roman"/>
          <w:color w:val="000000"/>
          <w:sz w:val="28"/>
          <w:szCs w:val="28"/>
          <w:shd w:val="clear" w:color="auto" w:fill="FFFFFF"/>
          <w:lang w:val="uk-UA"/>
        </w:rPr>
        <w:t>–</w:t>
      </w:r>
      <w:r w:rsidRPr="008F25EC">
        <w:rPr>
          <w:rFonts w:ascii="Times New Roman" w:hAnsi="Times New Roman" w:cs="Times New Roman"/>
          <w:color w:val="000000"/>
          <w:sz w:val="28"/>
          <w:szCs w:val="28"/>
          <w:shd w:val="clear" w:color="auto" w:fill="FFFFFF"/>
          <w:lang w:val="uk-UA"/>
        </w:rPr>
        <w:t>- до 30 відсотків суб’єктів господарювання;</w:t>
      </w:r>
    </w:p>
    <w:p w14:paraId="12EA33A3" w14:textId="6364A56F"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до незначного ступеня ризику </w:t>
      </w:r>
      <w:r w:rsidR="005E3CB4" w:rsidRPr="008F25EC">
        <w:rPr>
          <w:rFonts w:ascii="Times New Roman" w:hAnsi="Times New Roman" w:cs="Times New Roman"/>
          <w:color w:val="000000"/>
          <w:sz w:val="28"/>
          <w:szCs w:val="28"/>
          <w:shd w:val="clear" w:color="auto" w:fill="FFFFFF"/>
          <w:lang w:val="uk-UA"/>
        </w:rPr>
        <w:t>–</w:t>
      </w:r>
      <w:r w:rsidRPr="008F25EC">
        <w:rPr>
          <w:rFonts w:ascii="Times New Roman" w:hAnsi="Times New Roman" w:cs="Times New Roman"/>
          <w:color w:val="000000"/>
          <w:sz w:val="28"/>
          <w:szCs w:val="28"/>
          <w:shd w:val="clear" w:color="auto" w:fill="FFFFFF"/>
          <w:lang w:val="uk-UA"/>
        </w:rPr>
        <w:t xml:space="preserve"> 60 та більше відсотків суб’єктів господарювання.</w:t>
      </w:r>
    </w:p>
    <w:p w14:paraId="3DCBAE49" w14:textId="2DA3FF91" w:rsidR="00E97D08" w:rsidRDefault="00476310"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рекомендовано визначити середньозважений ступінь ризику кожного конкретного суб’єкта господарювання за наступною формулою:</w:t>
      </w:r>
    </w:p>
    <w:p w14:paraId="079027B5" w14:textId="77777777" w:rsidR="00BD3B15" w:rsidRPr="008F25EC" w:rsidRDefault="00BD3B15" w:rsidP="00BD3B15">
      <w:pPr>
        <w:pStyle w:val="a3"/>
        <w:tabs>
          <w:tab w:val="left" w:pos="993"/>
          <w:tab w:val="left" w:pos="1134"/>
        </w:tabs>
        <w:spacing w:before="60" w:after="60" w:line="240" w:lineRule="auto"/>
        <w:ind w:left="709"/>
        <w:contextualSpacing w:val="0"/>
        <w:jc w:val="both"/>
        <w:rPr>
          <w:rFonts w:ascii="Times New Roman" w:hAnsi="Times New Roman" w:cs="Times New Roman"/>
          <w:color w:val="000000"/>
          <w:sz w:val="28"/>
          <w:szCs w:val="28"/>
          <w:shd w:val="clear" w:color="auto" w:fill="FFFFFF"/>
          <w:lang w:val="uk-UA"/>
        </w:rPr>
      </w:pPr>
    </w:p>
    <w:p w14:paraId="67B8CD21" w14:textId="5D4B8826" w:rsidR="00476310" w:rsidRPr="008F25EC" w:rsidRDefault="00476310" w:rsidP="00BD3B15">
      <w:pPr>
        <w:pStyle w:val="a3"/>
        <w:tabs>
          <w:tab w:val="left" w:pos="0"/>
        </w:tabs>
        <w:spacing w:before="60" w:after="60" w:line="240" w:lineRule="auto"/>
        <w:ind w:left="0"/>
        <w:contextualSpacing w:val="0"/>
        <w:jc w:val="center"/>
        <w:rPr>
          <w:rFonts w:ascii="Times New Roman" w:hAnsi="Times New Roman" w:cs="Times New Roman"/>
          <w:color w:val="000000"/>
          <w:sz w:val="28"/>
          <w:szCs w:val="28"/>
          <w:shd w:val="clear" w:color="auto" w:fill="FFFFFF"/>
          <w:lang w:val="uk-UA"/>
        </w:rPr>
      </w:pPr>
      <w:proofErr w:type="spellStart"/>
      <w:r w:rsidRPr="008F25EC">
        <w:rPr>
          <w:rFonts w:ascii="Times New Roman" w:hAnsi="Times New Roman" w:cs="Times New Roman"/>
          <w:color w:val="000000"/>
          <w:sz w:val="28"/>
          <w:szCs w:val="28"/>
          <w:shd w:val="clear" w:color="auto" w:fill="FFFFFF"/>
          <w:lang w:val="uk-UA"/>
        </w:rPr>
        <w:t>R</w:t>
      </w:r>
      <w:r w:rsidRPr="008F25EC">
        <w:rPr>
          <w:rFonts w:ascii="Times New Roman" w:hAnsi="Times New Roman" w:cs="Times New Roman"/>
          <w:color w:val="000000"/>
          <w:sz w:val="28"/>
          <w:szCs w:val="28"/>
          <w:shd w:val="clear" w:color="auto" w:fill="FFFFFF"/>
          <w:vertAlign w:val="subscript"/>
          <w:lang w:val="uk-UA"/>
        </w:rPr>
        <w:t>g</w:t>
      </w:r>
      <w:proofErr w:type="spellEnd"/>
      <w:r w:rsidRPr="008F25EC">
        <w:rPr>
          <w:rFonts w:ascii="Times New Roman" w:hAnsi="Times New Roman" w:cs="Times New Roman"/>
          <w:color w:val="000000"/>
          <w:sz w:val="28"/>
          <w:szCs w:val="28"/>
          <w:shd w:val="clear" w:color="auto" w:fill="FFFFFF"/>
          <w:vertAlign w:val="subscript"/>
          <w:lang w:val="uk-UA"/>
        </w:rPr>
        <w:t xml:space="preserve"> </w:t>
      </w:r>
      <w:r w:rsidRPr="008F25EC">
        <w:rPr>
          <w:rFonts w:ascii="Times New Roman" w:hAnsi="Times New Roman" w:cs="Times New Roman"/>
          <w:color w:val="000000"/>
          <w:sz w:val="28"/>
          <w:szCs w:val="28"/>
          <w:shd w:val="clear" w:color="auto" w:fill="FFFFFF"/>
          <w:lang w:val="uk-UA"/>
        </w:rPr>
        <w:t>= (w</w:t>
      </w:r>
      <w:r w:rsidRPr="008F25EC">
        <w:rPr>
          <w:rFonts w:ascii="Times New Roman" w:hAnsi="Times New Roman" w:cs="Times New Roman"/>
          <w:color w:val="000000"/>
          <w:sz w:val="28"/>
          <w:szCs w:val="28"/>
          <w:shd w:val="clear" w:color="auto" w:fill="FFFFFF"/>
          <w:vertAlign w:val="subscript"/>
          <w:lang w:val="uk-UA"/>
        </w:rPr>
        <w:t>1</w:t>
      </w:r>
      <w:r w:rsidRPr="008F25EC">
        <w:rPr>
          <w:rFonts w:ascii="Times New Roman" w:hAnsi="Times New Roman" w:cs="Times New Roman"/>
          <w:color w:val="000000"/>
          <w:sz w:val="28"/>
          <w:szCs w:val="28"/>
          <w:shd w:val="clear" w:color="auto" w:fill="FFFFFF"/>
          <w:lang w:val="uk-UA"/>
        </w:rPr>
        <w:t>R</w:t>
      </w:r>
      <w:r w:rsidRPr="008F25EC">
        <w:rPr>
          <w:rFonts w:ascii="Times New Roman" w:hAnsi="Times New Roman" w:cs="Times New Roman"/>
          <w:color w:val="000000"/>
          <w:sz w:val="28"/>
          <w:szCs w:val="28"/>
          <w:shd w:val="clear" w:color="auto" w:fill="FFFFFF"/>
          <w:vertAlign w:val="subscript"/>
          <w:lang w:val="uk-UA"/>
        </w:rPr>
        <w:t xml:space="preserve">1 </w:t>
      </w:r>
      <w:r w:rsidRPr="008F25EC">
        <w:rPr>
          <w:rFonts w:ascii="Times New Roman" w:hAnsi="Times New Roman" w:cs="Times New Roman"/>
          <w:color w:val="000000"/>
          <w:sz w:val="28"/>
          <w:szCs w:val="28"/>
          <w:shd w:val="clear" w:color="auto" w:fill="FFFFFF"/>
          <w:lang w:val="uk-UA"/>
        </w:rPr>
        <w:t>+ w</w:t>
      </w:r>
      <w:r w:rsidRPr="008F25EC">
        <w:rPr>
          <w:rFonts w:ascii="Times New Roman" w:hAnsi="Times New Roman" w:cs="Times New Roman"/>
          <w:color w:val="000000"/>
          <w:sz w:val="28"/>
          <w:szCs w:val="28"/>
          <w:shd w:val="clear" w:color="auto" w:fill="FFFFFF"/>
          <w:vertAlign w:val="subscript"/>
          <w:lang w:val="uk-UA"/>
        </w:rPr>
        <w:t>2</w:t>
      </w:r>
      <w:r w:rsidRPr="008F25EC">
        <w:rPr>
          <w:rFonts w:ascii="Times New Roman" w:hAnsi="Times New Roman" w:cs="Times New Roman"/>
          <w:color w:val="000000"/>
          <w:sz w:val="28"/>
          <w:szCs w:val="28"/>
          <w:shd w:val="clear" w:color="auto" w:fill="FFFFFF"/>
          <w:lang w:val="uk-UA"/>
        </w:rPr>
        <w:t>R</w:t>
      </w:r>
      <w:r w:rsidRPr="008F25EC">
        <w:rPr>
          <w:rFonts w:ascii="Times New Roman" w:hAnsi="Times New Roman" w:cs="Times New Roman"/>
          <w:color w:val="000000"/>
          <w:sz w:val="28"/>
          <w:szCs w:val="28"/>
          <w:shd w:val="clear" w:color="auto" w:fill="FFFFFF"/>
          <w:vertAlign w:val="subscript"/>
          <w:lang w:val="uk-UA"/>
        </w:rPr>
        <w:t xml:space="preserve">2 </w:t>
      </w:r>
      <w:r w:rsidRPr="008F25EC">
        <w:rPr>
          <w:rFonts w:ascii="Times New Roman" w:hAnsi="Times New Roman" w:cs="Times New Roman"/>
          <w:color w:val="000000"/>
          <w:sz w:val="28"/>
          <w:szCs w:val="28"/>
          <w:shd w:val="clear" w:color="auto" w:fill="FFFFFF"/>
          <w:lang w:val="uk-UA"/>
        </w:rPr>
        <w:t xml:space="preserve">+ … + </w:t>
      </w:r>
      <w:proofErr w:type="spellStart"/>
      <w:r w:rsidRPr="008F25EC">
        <w:rPr>
          <w:rFonts w:ascii="Times New Roman" w:hAnsi="Times New Roman" w:cs="Times New Roman"/>
          <w:color w:val="000000"/>
          <w:sz w:val="28"/>
          <w:szCs w:val="28"/>
          <w:shd w:val="clear" w:color="auto" w:fill="FFFFFF"/>
          <w:lang w:val="uk-UA"/>
        </w:rPr>
        <w:t>w</w:t>
      </w:r>
      <w:r w:rsidRPr="008F25EC">
        <w:rPr>
          <w:rFonts w:ascii="Times New Roman" w:hAnsi="Times New Roman" w:cs="Times New Roman"/>
          <w:color w:val="000000"/>
          <w:sz w:val="28"/>
          <w:szCs w:val="28"/>
          <w:shd w:val="clear" w:color="auto" w:fill="FFFFFF"/>
          <w:vertAlign w:val="subscript"/>
          <w:lang w:val="uk-UA"/>
        </w:rPr>
        <w:t>n</w:t>
      </w:r>
      <w:r w:rsidRPr="008F25EC">
        <w:rPr>
          <w:rFonts w:ascii="Times New Roman" w:hAnsi="Times New Roman" w:cs="Times New Roman"/>
          <w:color w:val="000000"/>
          <w:sz w:val="28"/>
          <w:szCs w:val="28"/>
          <w:shd w:val="clear" w:color="auto" w:fill="FFFFFF"/>
          <w:lang w:val="uk-UA"/>
        </w:rPr>
        <w:t>R</w:t>
      </w:r>
      <w:r w:rsidRPr="008F25EC">
        <w:rPr>
          <w:rFonts w:ascii="Times New Roman" w:hAnsi="Times New Roman" w:cs="Times New Roman"/>
          <w:color w:val="000000"/>
          <w:sz w:val="28"/>
          <w:szCs w:val="28"/>
          <w:shd w:val="clear" w:color="auto" w:fill="FFFFFF"/>
          <w:vertAlign w:val="subscript"/>
          <w:lang w:val="uk-UA"/>
        </w:rPr>
        <w:t>n</w:t>
      </w:r>
      <w:proofErr w:type="spellEnd"/>
      <w:r w:rsidRPr="008F25EC">
        <w:rPr>
          <w:rFonts w:ascii="Times New Roman" w:hAnsi="Times New Roman" w:cs="Times New Roman"/>
          <w:color w:val="000000"/>
          <w:sz w:val="28"/>
          <w:szCs w:val="28"/>
          <w:shd w:val="clear" w:color="auto" w:fill="FFFFFF"/>
          <w:lang w:val="uk-UA"/>
        </w:rPr>
        <w:t>) x 200</w:t>
      </w:r>
    </w:p>
    <w:p w14:paraId="7ED69357" w14:textId="13302C83" w:rsidR="00476310" w:rsidRPr="008F25EC" w:rsidRDefault="00476310"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або</w:t>
      </w:r>
    </w:p>
    <w:p w14:paraId="49E9F797" w14:textId="78C1F4C1" w:rsidR="00E97D08" w:rsidRPr="008F25EC" w:rsidRDefault="007A5F41" w:rsidP="008F25EC">
      <w:pPr>
        <w:pStyle w:val="a3"/>
        <w:tabs>
          <w:tab w:val="left" w:pos="993"/>
          <w:tab w:val="left" w:pos="1134"/>
        </w:tabs>
        <w:spacing w:before="60" w:after="60" w:line="240" w:lineRule="auto"/>
        <w:ind w:left="0" w:firstLine="709"/>
        <w:contextualSpacing w:val="0"/>
        <w:jc w:val="both"/>
        <w:rPr>
          <w:rFonts w:ascii="Times New Roman" w:eastAsiaTheme="minorEastAsia" w:hAnsi="Times New Roman" w:cs="Times New Roman"/>
          <w:color w:val="000000"/>
          <w:sz w:val="28"/>
          <w:szCs w:val="28"/>
          <w:shd w:val="clear" w:color="auto" w:fill="FFFFFF"/>
          <w:lang w:val="uk-UA"/>
        </w:rPr>
      </w:pPr>
      <m:oMathPara>
        <m:oMath>
          <m:sSub>
            <m:sSubPr>
              <m:ctrlPr>
                <w:rPr>
                  <w:rFonts w:ascii="Cambria Math" w:hAnsi="Cambria Math" w:cs="Times New Roman"/>
                  <w:i/>
                  <w:color w:val="000000"/>
                  <w:sz w:val="28"/>
                  <w:szCs w:val="28"/>
                  <w:shd w:val="clear" w:color="auto" w:fill="FFFFFF"/>
                  <w:lang w:val="uk-UA"/>
                </w:rPr>
              </m:ctrlPr>
            </m:sSubPr>
            <m:e>
              <m:r>
                <w:rPr>
                  <w:rFonts w:ascii="Cambria Math" w:hAnsi="Cambria Math" w:cs="Times New Roman"/>
                  <w:color w:val="000000"/>
                  <w:sz w:val="28"/>
                  <w:szCs w:val="28"/>
                  <w:shd w:val="clear" w:color="auto" w:fill="FFFFFF"/>
                  <w:lang w:val="uk-UA"/>
                </w:rPr>
                <m:t>R</m:t>
              </m:r>
            </m:e>
            <m:sub>
              <m:r>
                <w:rPr>
                  <w:rFonts w:ascii="Cambria Math" w:hAnsi="Cambria Math" w:cs="Times New Roman"/>
                  <w:color w:val="000000"/>
                  <w:sz w:val="28"/>
                  <w:szCs w:val="28"/>
                  <w:shd w:val="clear" w:color="auto" w:fill="FFFFFF"/>
                  <w:lang w:val="uk-UA"/>
                </w:rPr>
                <m:t>g</m:t>
              </m:r>
            </m:sub>
          </m:sSub>
          <m:r>
            <w:rPr>
              <w:rFonts w:ascii="Cambria Math" w:hAnsi="Cambria Math" w:cs="Times New Roman"/>
              <w:color w:val="000000"/>
              <w:sz w:val="28"/>
              <w:szCs w:val="28"/>
              <w:shd w:val="clear" w:color="auto" w:fill="FFFFFF"/>
              <w:lang w:val="uk-UA"/>
            </w:rPr>
            <m:t>=</m:t>
          </m:r>
          <m:d>
            <m:dPr>
              <m:ctrlPr>
                <w:rPr>
                  <w:rFonts w:ascii="Cambria Math" w:hAnsi="Cambria Math" w:cs="Times New Roman"/>
                  <w:i/>
                  <w:color w:val="000000"/>
                  <w:sz w:val="28"/>
                  <w:szCs w:val="28"/>
                  <w:shd w:val="clear" w:color="auto" w:fill="FFFFFF"/>
                  <w:lang w:val="uk-UA"/>
                </w:rPr>
              </m:ctrlPr>
            </m:dPr>
            <m:e>
              <m:nary>
                <m:naryPr>
                  <m:chr m:val="∑"/>
                  <m:limLoc m:val="undOvr"/>
                  <m:ctrlPr>
                    <w:rPr>
                      <w:rFonts w:ascii="Cambria Math" w:hAnsi="Cambria Math" w:cs="Times New Roman"/>
                      <w:i/>
                      <w:color w:val="000000"/>
                      <w:sz w:val="28"/>
                      <w:szCs w:val="28"/>
                      <w:shd w:val="clear" w:color="auto" w:fill="FFFFFF"/>
                      <w:lang w:val="uk-UA"/>
                    </w:rPr>
                  </m:ctrlPr>
                </m:naryPr>
                <m:sub>
                  <m:r>
                    <w:rPr>
                      <w:rFonts w:ascii="Cambria Math" w:hAnsi="Cambria Math" w:cs="Times New Roman"/>
                      <w:color w:val="000000"/>
                      <w:sz w:val="28"/>
                      <w:szCs w:val="28"/>
                      <w:shd w:val="clear" w:color="auto" w:fill="FFFFFF"/>
                      <w:lang w:val="uk-UA"/>
                    </w:rPr>
                    <m:t>1</m:t>
                  </m:r>
                </m:sub>
                <m:sup>
                  <m:r>
                    <w:rPr>
                      <w:rFonts w:ascii="Cambria Math" w:hAnsi="Cambria Math" w:cs="Times New Roman"/>
                      <w:color w:val="000000"/>
                      <w:sz w:val="28"/>
                      <w:szCs w:val="28"/>
                      <w:shd w:val="clear" w:color="auto" w:fill="FFFFFF"/>
                      <w:lang w:val="uk-UA"/>
                    </w:rPr>
                    <m:t>n</m:t>
                  </m:r>
                </m:sup>
                <m:e>
                  <m:r>
                    <w:rPr>
                      <w:rFonts w:ascii="Cambria Math" w:hAnsi="Cambria Math" w:cs="Times New Roman"/>
                      <w:color w:val="000000"/>
                      <w:sz w:val="28"/>
                      <w:szCs w:val="28"/>
                      <w:shd w:val="clear" w:color="auto" w:fill="FFFFFF"/>
                      <w:lang w:val="uk-UA"/>
                    </w:rPr>
                    <m:t>wR</m:t>
                  </m:r>
                </m:e>
              </m:nary>
            </m:e>
          </m:d>
          <m:r>
            <w:rPr>
              <w:rFonts w:ascii="Cambria Math" w:hAnsi="Cambria Math" w:cs="Times New Roman"/>
              <w:color w:val="000000"/>
              <w:sz w:val="28"/>
              <w:szCs w:val="28"/>
              <w:shd w:val="clear" w:color="auto" w:fill="FFFFFF"/>
              <w:lang w:val="uk-UA"/>
            </w:rPr>
            <m:t xml:space="preserve"> ×200</m:t>
          </m:r>
        </m:oMath>
      </m:oMathPara>
    </w:p>
    <w:p w14:paraId="593E5EA5" w14:textId="77777777" w:rsidR="00BD3B15" w:rsidRDefault="00BD3B15"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p>
    <w:p w14:paraId="7A0D8391" w14:textId="4EDEED31" w:rsidR="00476310" w:rsidRPr="008F25EC" w:rsidRDefault="00476310"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де </w:t>
      </w:r>
      <w:proofErr w:type="spellStart"/>
      <w:r w:rsidRPr="008F25EC">
        <w:rPr>
          <w:rFonts w:ascii="Times New Roman" w:hAnsi="Times New Roman" w:cs="Times New Roman"/>
          <w:color w:val="000000"/>
          <w:sz w:val="28"/>
          <w:szCs w:val="28"/>
          <w:shd w:val="clear" w:color="auto" w:fill="FFFFFF"/>
          <w:lang w:val="uk-UA"/>
        </w:rPr>
        <w:t>R</w:t>
      </w:r>
      <w:r w:rsidRPr="008F25EC">
        <w:rPr>
          <w:rFonts w:ascii="Times New Roman" w:hAnsi="Times New Roman" w:cs="Times New Roman"/>
          <w:color w:val="000000"/>
          <w:sz w:val="28"/>
          <w:szCs w:val="28"/>
          <w:shd w:val="clear" w:color="auto" w:fill="FFFFFF"/>
          <w:vertAlign w:val="subscript"/>
          <w:lang w:val="uk-UA"/>
        </w:rPr>
        <w:t>g</w:t>
      </w:r>
      <w:proofErr w:type="spellEnd"/>
      <w:r w:rsidRPr="008F25EC">
        <w:rPr>
          <w:rFonts w:ascii="Times New Roman" w:hAnsi="Times New Roman" w:cs="Times New Roman"/>
          <w:color w:val="000000"/>
          <w:sz w:val="28"/>
          <w:szCs w:val="28"/>
          <w:shd w:val="clear" w:color="auto" w:fill="FFFFFF"/>
          <w:vertAlign w:val="subscript"/>
          <w:lang w:val="uk-UA"/>
        </w:rPr>
        <w:t xml:space="preserve"> </w:t>
      </w:r>
      <w:r w:rsidRPr="008F25EC">
        <w:rPr>
          <w:rFonts w:ascii="Times New Roman" w:hAnsi="Times New Roman" w:cs="Times New Roman"/>
          <w:color w:val="000000"/>
          <w:sz w:val="28"/>
          <w:szCs w:val="28"/>
          <w:shd w:val="clear" w:color="auto" w:fill="FFFFFF"/>
          <w:lang w:val="uk-UA"/>
        </w:rPr>
        <w:t>- це загальний ступінь ризику суб’єкта господарювання,</w:t>
      </w:r>
    </w:p>
    <w:p w14:paraId="126EC1D8" w14:textId="1FAB82CC" w:rsidR="00476310" w:rsidRPr="008F25EC" w:rsidRDefault="00476310"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1, 2, n – критерії ризику,</w:t>
      </w:r>
    </w:p>
    <w:p w14:paraId="2F3BAEBE" w14:textId="42BFB05E" w:rsidR="00476310" w:rsidRPr="008F25EC" w:rsidRDefault="00476310"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w – це вагомість критерію ризику (сума яких дорівнює одиниці);</w:t>
      </w:r>
    </w:p>
    <w:p w14:paraId="2FCC4A3A" w14:textId="3D31352D" w:rsidR="00E97D08" w:rsidRDefault="00476310" w:rsidP="008F25EC">
      <w:pPr>
        <w:pStyle w:val="a3"/>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R – рівень ризику для кожного критерію.</w:t>
      </w:r>
    </w:p>
    <w:p w14:paraId="23D1E268" w14:textId="77777777" w:rsidR="00BD3B15" w:rsidRPr="00BD3B15" w:rsidRDefault="00BD3B15" w:rsidP="00BD3B15">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4B485BE6" w14:textId="1CF02D3B" w:rsidR="00E97D08" w:rsidRPr="008F25EC" w:rsidRDefault="00476310"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В результаті застосування формули середньозваженого</w:t>
      </w:r>
      <w:r w:rsidR="005178C6" w:rsidRPr="008F25EC">
        <w:rPr>
          <w:rFonts w:ascii="Times New Roman" w:hAnsi="Times New Roman" w:cs="Times New Roman"/>
          <w:color w:val="000000"/>
          <w:sz w:val="28"/>
          <w:szCs w:val="28"/>
          <w:shd w:val="clear" w:color="auto" w:fill="FFFFFF"/>
          <w:lang w:val="uk-UA"/>
        </w:rPr>
        <w:t xml:space="preserve"> ступеня</w:t>
      </w:r>
      <w:r w:rsidRPr="008F25EC">
        <w:rPr>
          <w:rFonts w:ascii="Times New Roman" w:hAnsi="Times New Roman" w:cs="Times New Roman"/>
          <w:color w:val="000000"/>
          <w:sz w:val="28"/>
          <w:szCs w:val="28"/>
          <w:shd w:val="clear" w:color="auto" w:fill="FFFFFF"/>
          <w:lang w:val="uk-UA"/>
        </w:rPr>
        <w:t xml:space="preserve"> ризику </w:t>
      </w:r>
      <w:r w:rsidR="005178C6" w:rsidRPr="008F25EC">
        <w:rPr>
          <w:rFonts w:ascii="Times New Roman" w:hAnsi="Times New Roman" w:cs="Times New Roman"/>
          <w:color w:val="000000"/>
          <w:sz w:val="28"/>
          <w:szCs w:val="28"/>
          <w:shd w:val="clear" w:color="auto" w:fill="FFFFFF"/>
          <w:lang w:val="uk-UA"/>
        </w:rPr>
        <w:t xml:space="preserve">кількість балів </w:t>
      </w:r>
      <w:r w:rsidRPr="008F25EC">
        <w:rPr>
          <w:rFonts w:ascii="Times New Roman" w:hAnsi="Times New Roman" w:cs="Times New Roman"/>
          <w:color w:val="000000"/>
          <w:sz w:val="28"/>
          <w:szCs w:val="28"/>
          <w:shd w:val="clear" w:color="auto" w:fill="FFFFFF"/>
          <w:lang w:val="uk-UA"/>
        </w:rPr>
        <w:t xml:space="preserve">варіюватиметься </w:t>
      </w:r>
      <w:r w:rsidR="005178C6" w:rsidRPr="008F25EC">
        <w:rPr>
          <w:rFonts w:ascii="Times New Roman" w:hAnsi="Times New Roman" w:cs="Times New Roman"/>
          <w:color w:val="000000"/>
          <w:sz w:val="28"/>
          <w:szCs w:val="28"/>
          <w:shd w:val="clear" w:color="auto" w:fill="FFFFFF"/>
          <w:lang w:val="uk-UA"/>
        </w:rPr>
        <w:t>від 200 до 1000 балів, де 200 балів є нижньою межею незначного ступеня ризику, а 1000 балів є максимальним балом високого ризику.</w:t>
      </w:r>
    </w:p>
    <w:p w14:paraId="31FA75AD" w14:textId="456FE398" w:rsidR="00E97D08" w:rsidRPr="008F25EC" w:rsidRDefault="005178C6"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Орган державного нагляду контролю визначає середньозважений ступінь ризику для кожного суб’єкта господарювання, що підлягає нагляду (контролю) у сфері, віднесеній до його відання.</w:t>
      </w:r>
    </w:p>
    <w:p w14:paraId="70812FA2" w14:textId="7BA4DB58" w:rsidR="00E97D08" w:rsidRDefault="005178C6"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Орган державного нагляду класифікує отриманий перелік всіх суб’єкти господарювання в межах процентного співвідношення, встановленого пунктом </w:t>
      </w:r>
      <w:r w:rsidRPr="008F25EC">
        <w:rPr>
          <w:rFonts w:ascii="Times New Roman" w:hAnsi="Times New Roman" w:cs="Times New Roman"/>
          <w:color w:val="000000"/>
          <w:sz w:val="28"/>
          <w:szCs w:val="28"/>
          <w:shd w:val="clear" w:color="auto" w:fill="FFFFFF"/>
          <w:lang w:val="uk-UA"/>
        </w:rPr>
        <w:fldChar w:fldCharType="begin"/>
      </w:r>
      <w:r w:rsidRPr="008F25EC">
        <w:rPr>
          <w:rFonts w:ascii="Times New Roman" w:hAnsi="Times New Roman" w:cs="Times New Roman"/>
          <w:color w:val="000000"/>
          <w:sz w:val="28"/>
          <w:szCs w:val="28"/>
          <w:shd w:val="clear" w:color="auto" w:fill="FFFFFF"/>
          <w:lang w:val="uk-UA"/>
        </w:rPr>
        <w:instrText xml:space="preserve"> REF _Ref476061579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Pr="008F25EC">
        <w:rPr>
          <w:rFonts w:ascii="Times New Roman" w:hAnsi="Times New Roman" w:cs="Times New Roman"/>
          <w:color w:val="000000"/>
          <w:sz w:val="28"/>
          <w:szCs w:val="28"/>
          <w:shd w:val="clear" w:color="auto" w:fill="FFFFFF"/>
          <w:lang w:val="uk-UA"/>
        </w:rPr>
      </w:r>
      <w:r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38</w:t>
      </w:r>
      <w:r w:rsidRPr="008F25EC">
        <w:rPr>
          <w:rFonts w:ascii="Times New Roman" w:hAnsi="Times New Roman" w:cs="Times New Roman"/>
          <w:color w:val="000000"/>
          <w:sz w:val="28"/>
          <w:szCs w:val="28"/>
          <w:shd w:val="clear" w:color="auto" w:fill="FFFFFF"/>
          <w:lang w:val="uk-UA"/>
        </w:rPr>
        <w:fldChar w:fldCharType="end"/>
      </w:r>
      <w:r w:rsidRPr="008F25EC">
        <w:rPr>
          <w:rFonts w:ascii="Times New Roman" w:hAnsi="Times New Roman" w:cs="Times New Roman"/>
          <w:color w:val="000000"/>
          <w:sz w:val="28"/>
          <w:szCs w:val="28"/>
          <w:shd w:val="clear" w:color="auto" w:fill="FFFFFF"/>
          <w:lang w:val="uk-UA"/>
        </w:rPr>
        <w:t xml:space="preserve"> вище.</w:t>
      </w:r>
    </w:p>
    <w:p w14:paraId="7E7FA817" w14:textId="77777777" w:rsidR="00BD3B15" w:rsidRPr="00BD3B15" w:rsidRDefault="00BD3B15" w:rsidP="00BD3B15">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270D4620" w14:textId="60E71DC2" w:rsidR="00E97D08" w:rsidRPr="00BD3B15" w:rsidRDefault="00E74ADB"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 xml:space="preserve">Вимоги щодо </w:t>
      </w:r>
      <w:r w:rsidRPr="008F25EC">
        <w:rPr>
          <w:rFonts w:ascii="Times New Roman" w:hAnsi="Times New Roman" w:cs="Times New Roman"/>
          <w:b/>
          <w:sz w:val="28"/>
          <w:szCs w:val="28"/>
          <w:lang w:val="uk-UA"/>
        </w:rPr>
        <w:t>визначення</w:t>
      </w:r>
      <w:r w:rsidRPr="00BD3B15">
        <w:rPr>
          <w:rFonts w:ascii="Times New Roman" w:hAnsi="Times New Roman" w:cs="Times New Roman"/>
          <w:b/>
          <w:sz w:val="28"/>
          <w:szCs w:val="28"/>
          <w:lang w:val="uk-UA"/>
        </w:rPr>
        <w:t xml:space="preserve"> періодичності проведення планових заходів державного нагляду (контролю)</w:t>
      </w:r>
      <w:bookmarkStart w:id="15" w:name="_Ref475961571"/>
    </w:p>
    <w:p w14:paraId="62BDEE38" w14:textId="7FBF426C"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Залежно від ступеня ризику встановлюється періодичність проведення планових заходів державного нагляду (контролю).</w:t>
      </w:r>
      <w:bookmarkEnd w:id="15"/>
    </w:p>
    <w:p w14:paraId="2B68CD6F" w14:textId="0A9068AD" w:rsidR="00E97D08" w:rsidRPr="008F25EC" w:rsidRDefault="00BD3614"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Періодичність</w:t>
      </w:r>
      <w:r w:rsidR="00E74ADB" w:rsidRPr="008F25EC">
        <w:rPr>
          <w:rFonts w:ascii="Times New Roman" w:hAnsi="Times New Roman" w:cs="Times New Roman"/>
          <w:color w:val="000000"/>
          <w:sz w:val="28"/>
          <w:szCs w:val="28"/>
          <w:shd w:val="clear" w:color="auto" w:fill="FFFFFF"/>
          <w:lang w:val="uk-UA"/>
        </w:rPr>
        <w:t xml:space="preserve"> проведення планових заходів</w:t>
      </w:r>
      <w:r w:rsidR="002C1DEF" w:rsidRPr="008F25EC">
        <w:rPr>
          <w:rFonts w:ascii="Times New Roman" w:hAnsi="Times New Roman" w:cs="Times New Roman"/>
          <w:color w:val="000000"/>
          <w:sz w:val="28"/>
          <w:szCs w:val="28"/>
          <w:shd w:val="clear" w:color="auto" w:fill="FFFFFF"/>
          <w:lang w:val="uk-UA"/>
        </w:rPr>
        <w:t xml:space="preserve"> державного нагляду (контролю) визначається органом державного нагляду (контролю)</w:t>
      </w:r>
      <w:r w:rsidR="00E74ADB" w:rsidRPr="008F25EC">
        <w:rPr>
          <w:rFonts w:ascii="Times New Roman" w:hAnsi="Times New Roman" w:cs="Times New Roman"/>
          <w:color w:val="000000"/>
          <w:sz w:val="28"/>
          <w:szCs w:val="28"/>
          <w:shd w:val="clear" w:color="auto" w:fill="FFFFFF"/>
          <w:lang w:val="uk-UA"/>
        </w:rPr>
        <w:t>:</w:t>
      </w:r>
    </w:p>
    <w:p w14:paraId="6E9DF529" w14:textId="358F185E"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для суб’єктів господарювання, що віднесені до високого ступеня ризику, – не частіше одного разу на два роки;</w:t>
      </w:r>
    </w:p>
    <w:p w14:paraId="3CD31DEE" w14:textId="0A936899"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для суб’єктів господарювання, що віднесені до середнього ступеня ризику, </w:t>
      </w:r>
      <w:r w:rsidR="00BD3614" w:rsidRPr="008F25EC">
        <w:rPr>
          <w:rFonts w:ascii="Times New Roman" w:hAnsi="Times New Roman" w:cs="Times New Roman"/>
          <w:color w:val="000000"/>
          <w:sz w:val="28"/>
          <w:szCs w:val="28"/>
          <w:shd w:val="clear" w:color="auto" w:fill="FFFFFF"/>
          <w:lang w:val="uk-UA"/>
        </w:rPr>
        <w:t>–</w:t>
      </w:r>
      <w:r w:rsidRPr="008F25EC">
        <w:rPr>
          <w:rFonts w:ascii="Times New Roman" w:hAnsi="Times New Roman" w:cs="Times New Roman"/>
          <w:color w:val="000000"/>
          <w:sz w:val="28"/>
          <w:szCs w:val="28"/>
          <w:shd w:val="clear" w:color="auto" w:fill="FFFFFF"/>
          <w:lang w:val="uk-UA"/>
        </w:rPr>
        <w:t xml:space="preserve"> не частіше одного разу на три роки;</w:t>
      </w:r>
    </w:p>
    <w:p w14:paraId="0A300D01" w14:textId="7BCCC636"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для суб’єктів господарювання, що віднесені до незначного ступеня ризику,</w:t>
      </w:r>
      <w:r w:rsidR="00BD3614" w:rsidRPr="008F25EC">
        <w:rPr>
          <w:rFonts w:ascii="Times New Roman" w:hAnsi="Times New Roman" w:cs="Times New Roman"/>
          <w:color w:val="000000"/>
          <w:sz w:val="28"/>
          <w:szCs w:val="28"/>
          <w:shd w:val="clear" w:color="auto" w:fill="FFFFFF"/>
          <w:lang w:val="uk-UA"/>
        </w:rPr>
        <w:t xml:space="preserve"> – </w:t>
      </w:r>
      <w:r w:rsidRPr="008F25EC">
        <w:rPr>
          <w:rFonts w:ascii="Times New Roman" w:hAnsi="Times New Roman" w:cs="Times New Roman"/>
          <w:color w:val="000000"/>
          <w:sz w:val="28"/>
          <w:szCs w:val="28"/>
          <w:shd w:val="clear" w:color="auto" w:fill="FFFFFF"/>
          <w:lang w:val="uk-UA"/>
        </w:rPr>
        <w:t>не частіше одного разу на п’ять років.</w:t>
      </w:r>
    </w:p>
    <w:p w14:paraId="706F9529" w14:textId="2DEA89D6"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Строки, зазначені в пункті </w:t>
      </w:r>
      <w:r w:rsidR="00031D9C" w:rsidRPr="008F25EC">
        <w:rPr>
          <w:rFonts w:ascii="Times New Roman" w:hAnsi="Times New Roman" w:cs="Times New Roman"/>
          <w:color w:val="000000"/>
          <w:sz w:val="28"/>
          <w:szCs w:val="28"/>
          <w:shd w:val="clear" w:color="auto" w:fill="FFFFFF"/>
          <w:lang w:val="uk-UA"/>
        </w:rPr>
        <w:fldChar w:fldCharType="begin"/>
      </w:r>
      <w:r w:rsidR="00031D9C" w:rsidRPr="008F25EC">
        <w:rPr>
          <w:rFonts w:ascii="Times New Roman" w:hAnsi="Times New Roman" w:cs="Times New Roman"/>
          <w:color w:val="000000"/>
          <w:sz w:val="28"/>
          <w:szCs w:val="28"/>
          <w:shd w:val="clear" w:color="auto" w:fill="FFFFFF"/>
          <w:lang w:val="uk-UA"/>
        </w:rPr>
        <w:instrText xml:space="preserve"> REF _Ref475961571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031D9C" w:rsidRPr="008F25EC">
        <w:rPr>
          <w:rFonts w:ascii="Times New Roman" w:hAnsi="Times New Roman" w:cs="Times New Roman"/>
          <w:color w:val="000000"/>
          <w:sz w:val="28"/>
          <w:szCs w:val="28"/>
          <w:shd w:val="clear" w:color="auto" w:fill="FFFFFF"/>
          <w:lang w:val="uk-UA"/>
        </w:rPr>
      </w:r>
      <w:r w:rsidR="00031D9C"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43</w:t>
      </w:r>
      <w:r w:rsidR="00031D9C" w:rsidRPr="008F25EC">
        <w:rPr>
          <w:rFonts w:ascii="Times New Roman" w:hAnsi="Times New Roman" w:cs="Times New Roman"/>
          <w:color w:val="000000"/>
          <w:sz w:val="28"/>
          <w:szCs w:val="28"/>
          <w:shd w:val="clear" w:color="auto" w:fill="FFFFFF"/>
          <w:lang w:val="uk-UA"/>
        </w:rPr>
        <w:fldChar w:fldCharType="end"/>
      </w:r>
      <w:r w:rsidRPr="008F25EC">
        <w:rPr>
          <w:rFonts w:ascii="Times New Roman" w:hAnsi="Times New Roman" w:cs="Times New Roman"/>
          <w:color w:val="000000"/>
          <w:sz w:val="28"/>
          <w:szCs w:val="28"/>
          <w:shd w:val="clear" w:color="auto" w:fill="FFFFFF"/>
          <w:lang w:val="uk-UA"/>
        </w:rPr>
        <w:t xml:space="preserve"> цієї Методики, відраховуються з моменту проведення останнього планового заходу державного нагляду (контролю) щодо відповідного суб’єкта господарювання.</w:t>
      </w:r>
    </w:p>
    <w:p w14:paraId="03BA2FC6" w14:textId="0CDB4142"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Для суб’єктів господарювання, щодо яких планові заходи державного нагляду (контролю) не здійснювалися, строки, зазначені в пункті </w:t>
      </w:r>
      <w:r w:rsidR="0012051C" w:rsidRPr="008F25EC">
        <w:rPr>
          <w:rFonts w:ascii="Times New Roman" w:hAnsi="Times New Roman" w:cs="Times New Roman"/>
          <w:color w:val="000000"/>
          <w:sz w:val="28"/>
          <w:szCs w:val="28"/>
          <w:shd w:val="clear" w:color="auto" w:fill="FFFFFF"/>
          <w:lang w:val="uk-UA"/>
        </w:rPr>
        <w:fldChar w:fldCharType="begin"/>
      </w:r>
      <w:r w:rsidR="0012051C" w:rsidRPr="008F25EC">
        <w:rPr>
          <w:rFonts w:ascii="Times New Roman" w:hAnsi="Times New Roman" w:cs="Times New Roman"/>
          <w:color w:val="000000"/>
          <w:sz w:val="28"/>
          <w:szCs w:val="28"/>
          <w:shd w:val="clear" w:color="auto" w:fill="FFFFFF"/>
          <w:lang w:val="uk-UA"/>
        </w:rPr>
        <w:instrText xml:space="preserve"> REF _Ref475961571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12051C" w:rsidRPr="008F25EC">
        <w:rPr>
          <w:rFonts w:ascii="Times New Roman" w:hAnsi="Times New Roman" w:cs="Times New Roman"/>
          <w:color w:val="000000"/>
          <w:sz w:val="28"/>
          <w:szCs w:val="28"/>
          <w:shd w:val="clear" w:color="auto" w:fill="FFFFFF"/>
          <w:lang w:val="uk-UA"/>
        </w:rPr>
      </w:r>
      <w:r w:rsidR="0012051C"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43</w:t>
      </w:r>
      <w:r w:rsidR="0012051C" w:rsidRPr="008F25EC">
        <w:rPr>
          <w:rFonts w:ascii="Times New Roman" w:hAnsi="Times New Roman" w:cs="Times New Roman"/>
          <w:color w:val="000000"/>
          <w:sz w:val="28"/>
          <w:szCs w:val="28"/>
          <w:shd w:val="clear" w:color="auto" w:fill="FFFFFF"/>
          <w:lang w:val="uk-UA"/>
        </w:rPr>
        <w:fldChar w:fldCharType="end"/>
      </w:r>
      <w:r w:rsidR="0012051C" w:rsidRPr="008F25EC">
        <w:rPr>
          <w:rFonts w:ascii="Times New Roman" w:hAnsi="Times New Roman" w:cs="Times New Roman"/>
          <w:color w:val="000000"/>
          <w:sz w:val="28"/>
          <w:szCs w:val="28"/>
          <w:shd w:val="clear" w:color="auto" w:fill="FFFFFF"/>
          <w:lang w:val="uk-UA"/>
        </w:rPr>
        <w:t xml:space="preserve"> </w:t>
      </w:r>
      <w:r w:rsidRPr="008F25EC">
        <w:rPr>
          <w:rFonts w:ascii="Times New Roman" w:hAnsi="Times New Roman" w:cs="Times New Roman"/>
          <w:color w:val="000000"/>
          <w:sz w:val="28"/>
          <w:szCs w:val="28"/>
          <w:shd w:val="clear" w:color="auto" w:fill="FFFFFF"/>
          <w:lang w:val="uk-UA"/>
        </w:rPr>
        <w:t>цієї Методики, відраховуються з дня їх державної реєстрації.</w:t>
      </w:r>
    </w:p>
    <w:p w14:paraId="18C7655F" w14:textId="4358D262"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Не дозволяється проведення планових заходів державного нагляду (контролю) частіше встановленої періодичності.</w:t>
      </w:r>
    </w:p>
    <w:p w14:paraId="3488A7F5" w14:textId="29390A62"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Періодичність проведення планових заходів державного нагляду (контролю) може змінюватися, якщо в результаті проведення чергового планового заходу державного нагляду (контролю) органом державного нагляду (контролю) було прийняте рішення про зміну ступеня ризику відповідного суб’єкта господарювання.</w:t>
      </w:r>
    </w:p>
    <w:p w14:paraId="79A02F8D" w14:textId="7957AE76"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При цьому орган державного нагляду повинен враховувати, що така зміна повинна бути обґрунтованою зміною </w:t>
      </w:r>
      <w:r w:rsidR="00577F0A" w:rsidRPr="008F25EC">
        <w:rPr>
          <w:rFonts w:ascii="Times New Roman" w:hAnsi="Times New Roman" w:cs="Times New Roman"/>
          <w:color w:val="000000"/>
          <w:sz w:val="28"/>
          <w:szCs w:val="28"/>
          <w:shd w:val="clear" w:color="auto" w:fill="FFFFFF"/>
          <w:lang w:val="uk-UA"/>
        </w:rPr>
        <w:t xml:space="preserve">рівня інтенсивності критеріїв </w:t>
      </w:r>
      <w:r w:rsidR="00577F0A" w:rsidRPr="008F25EC">
        <w:rPr>
          <w:rFonts w:ascii="Times New Roman" w:hAnsi="Times New Roman" w:cs="Times New Roman"/>
          <w:color w:val="000000"/>
          <w:sz w:val="28"/>
          <w:szCs w:val="28"/>
          <w:shd w:val="clear" w:color="auto" w:fill="FFFFFF"/>
          <w:lang w:val="uk-UA"/>
        </w:rPr>
        <w:lastRenderedPageBreak/>
        <w:t>ризику або</w:t>
      </w:r>
      <w:r w:rsidRPr="008F25EC">
        <w:rPr>
          <w:rFonts w:ascii="Times New Roman" w:hAnsi="Times New Roman" w:cs="Times New Roman"/>
          <w:color w:val="000000"/>
          <w:sz w:val="28"/>
          <w:szCs w:val="28"/>
          <w:shd w:val="clear" w:color="auto" w:fill="FFFFFF"/>
          <w:lang w:val="uk-UA"/>
        </w:rPr>
        <w:t xml:space="preserve"> </w:t>
      </w:r>
      <w:r w:rsidR="00577F0A" w:rsidRPr="008F25EC">
        <w:rPr>
          <w:rFonts w:ascii="Times New Roman" w:hAnsi="Times New Roman" w:cs="Times New Roman"/>
          <w:color w:val="000000"/>
          <w:sz w:val="28"/>
          <w:szCs w:val="28"/>
          <w:shd w:val="clear" w:color="auto" w:fill="FFFFFF"/>
          <w:lang w:val="uk-UA"/>
        </w:rPr>
        <w:t xml:space="preserve">ступенем прийнятного ризику, </w:t>
      </w:r>
      <w:r w:rsidRPr="008F25EC">
        <w:rPr>
          <w:rFonts w:ascii="Times New Roman" w:hAnsi="Times New Roman" w:cs="Times New Roman"/>
          <w:color w:val="000000"/>
          <w:sz w:val="28"/>
          <w:szCs w:val="28"/>
          <w:shd w:val="clear" w:color="auto" w:fill="FFFFFF"/>
          <w:lang w:val="uk-UA"/>
        </w:rPr>
        <w:t xml:space="preserve">а також не призводити до зміни процентного розподілу суб’єктів господарювання за ступенями ризику, встановленого пунктом </w:t>
      </w:r>
      <w:r w:rsidR="007E5BFE" w:rsidRPr="008F25EC">
        <w:rPr>
          <w:rFonts w:ascii="Times New Roman" w:hAnsi="Times New Roman" w:cs="Times New Roman"/>
          <w:color w:val="000000"/>
          <w:sz w:val="28"/>
          <w:szCs w:val="28"/>
          <w:shd w:val="clear" w:color="auto" w:fill="FFFFFF"/>
          <w:lang w:val="uk-UA"/>
        </w:rPr>
        <w:fldChar w:fldCharType="begin"/>
      </w:r>
      <w:r w:rsidR="007E5BFE" w:rsidRPr="008F25EC">
        <w:rPr>
          <w:rFonts w:ascii="Times New Roman" w:hAnsi="Times New Roman" w:cs="Times New Roman"/>
          <w:color w:val="000000"/>
          <w:sz w:val="28"/>
          <w:szCs w:val="28"/>
          <w:shd w:val="clear" w:color="auto" w:fill="FFFFFF"/>
          <w:lang w:val="uk-UA"/>
        </w:rPr>
        <w:instrText xml:space="preserve"> REF _Ref476061579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7E5BFE" w:rsidRPr="008F25EC">
        <w:rPr>
          <w:rFonts w:ascii="Times New Roman" w:hAnsi="Times New Roman" w:cs="Times New Roman"/>
          <w:color w:val="000000"/>
          <w:sz w:val="28"/>
          <w:szCs w:val="28"/>
          <w:shd w:val="clear" w:color="auto" w:fill="FFFFFF"/>
          <w:lang w:val="uk-UA"/>
        </w:rPr>
      </w:r>
      <w:r w:rsidR="007E5BFE"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38</w:t>
      </w:r>
      <w:r w:rsidR="007E5BFE" w:rsidRPr="008F25EC">
        <w:rPr>
          <w:rFonts w:ascii="Times New Roman" w:hAnsi="Times New Roman" w:cs="Times New Roman"/>
          <w:color w:val="000000"/>
          <w:sz w:val="28"/>
          <w:szCs w:val="28"/>
          <w:shd w:val="clear" w:color="auto" w:fill="FFFFFF"/>
          <w:lang w:val="uk-UA"/>
        </w:rPr>
        <w:fldChar w:fldCharType="end"/>
      </w:r>
      <w:r w:rsidRPr="008F25EC">
        <w:rPr>
          <w:rFonts w:ascii="Times New Roman" w:hAnsi="Times New Roman" w:cs="Times New Roman"/>
          <w:color w:val="000000"/>
          <w:sz w:val="28"/>
          <w:szCs w:val="28"/>
          <w:shd w:val="clear" w:color="auto" w:fill="FFFFFF"/>
          <w:lang w:val="uk-UA"/>
        </w:rPr>
        <w:t xml:space="preserve"> цієї Методики.</w:t>
      </w:r>
      <w:bookmarkStart w:id="16" w:name="_Ref476062349"/>
    </w:p>
    <w:p w14:paraId="4C8BBFB9" w14:textId="051172D1"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Періодичність проведення планових заходів може бути менш частою, ніж строки встановлені пунктом </w:t>
      </w:r>
      <w:r w:rsidR="00031D9C" w:rsidRPr="008F25EC">
        <w:rPr>
          <w:rFonts w:ascii="Times New Roman" w:hAnsi="Times New Roman" w:cs="Times New Roman"/>
          <w:color w:val="000000"/>
          <w:sz w:val="28"/>
          <w:szCs w:val="28"/>
          <w:shd w:val="clear" w:color="auto" w:fill="FFFFFF"/>
          <w:lang w:val="uk-UA"/>
        </w:rPr>
        <w:fldChar w:fldCharType="begin"/>
      </w:r>
      <w:r w:rsidR="00031D9C" w:rsidRPr="008F25EC">
        <w:rPr>
          <w:rFonts w:ascii="Times New Roman" w:hAnsi="Times New Roman" w:cs="Times New Roman"/>
          <w:color w:val="000000"/>
          <w:sz w:val="28"/>
          <w:szCs w:val="28"/>
          <w:shd w:val="clear" w:color="auto" w:fill="FFFFFF"/>
          <w:lang w:val="uk-UA"/>
        </w:rPr>
        <w:instrText xml:space="preserve"> REF _Ref475961571 \r \h </w:instrText>
      </w:r>
      <w:r w:rsidR="00466FB4" w:rsidRPr="008F25EC">
        <w:rPr>
          <w:rFonts w:ascii="Times New Roman" w:hAnsi="Times New Roman" w:cs="Times New Roman"/>
          <w:color w:val="000000"/>
          <w:sz w:val="28"/>
          <w:szCs w:val="28"/>
          <w:shd w:val="clear" w:color="auto" w:fill="FFFFFF"/>
          <w:lang w:val="uk-UA"/>
        </w:rPr>
        <w:instrText xml:space="preserve"> \* MERGEFORMAT </w:instrText>
      </w:r>
      <w:r w:rsidR="00031D9C" w:rsidRPr="008F25EC">
        <w:rPr>
          <w:rFonts w:ascii="Times New Roman" w:hAnsi="Times New Roman" w:cs="Times New Roman"/>
          <w:color w:val="000000"/>
          <w:sz w:val="28"/>
          <w:szCs w:val="28"/>
          <w:shd w:val="clear" w:color="auto" w:fill="FFFFFF"/>
          <w:lang w:val="uk-UA"/>
        </w:rPr>
      </w:r>
      <w:r w:rsidR="00031D9C"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43</w:t>
      </w:r>
      <w:r w:rsidR="00031D9C" w:rsidRPr="008F25EC">
        <w:rPr>
          <w:rFonts w:ascii="Times New Roman" w:hAnsi="Times New Roman" w:cs="Times New Roman"/>
          <w:color w:val="000000"/>
          <w:sz w:val="28"/>
          <w:szCs w:val="28"/>
          <w:shd w:val="clear" w:color="auto" w:fill="FFFFFF"/>
          <w:lang w:val="uk-UA"/>
        </w:rPr>
        <w:fldChar w:fldCharType="end"/>
      </w:r>
      <w:r w:rsidRPr="008F25EC">
        <w:rPr>
          <w:rFonts w:ascii="Times New Roman" w:hAnsi="Times New Roman" w:cs="Times New Roman"/>
          <w:color w:val="000000"/>
          <w:sz w:val="28"/>
          <w:szCs w:val="28"/>
          <w:shd w:val="clear" w:color="auto" w:fill="FFFFFF"/>
          <w:lang w:val="uk-UA"/>
        </w:rPr>
        <w:t xml:space="preserve"> цієї Методики, у разі якщо суб’єкти господарювання демонструють стабільну практику дотримання законодавства, а саме:</w:t>
      </w:r>
      <w:bookmarkEnd w:id="16"/>
    </w:p>
    <w:p w14:paraId="2846F5C0" w14:textId="69DD54CF"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а)</w:t>
      </w:r>
      <w:r w:rsidR="0012051C" w:rsidRPr="008F25EC">
        <w:rPr>
          <w:rFonts w:ascii="Times New Roman" w:hAnsi="Times New Roman" w:cs="Times New Roman"/>
          <w:color w:val="000000"/>
          <w:sz w:val="28"/>
          <w:szCs w:val="28"/>
          <w:shd w:val="clear" w:color="auto" w:fill="FFFFFF"/>
          <w:lang w:val="uk-UA"/>
        </w:rPr>
        <w:t xml:space="preserve"> якщо за результатами двох оста</w:t>
      </w:r>
      <w:r w:rsidRPr="008F25EC">
        <w:rPr>
          <w:rFonts w:ascii="Times New Roman" w:hAnsi="Times New Roman" w:cs="Times New Roman"/>
          <w:color w:val="000000"/>
          <w:sz w:val="28"/>
          <w:szCs w:val="28"/>
          <w:shd w:val="clear" w:color="auto" w:fill="FFFFFF"/>
          <w:lang w:val="uk-UA"/>
        </w:rPr>
        <w:t>нніх заходів державного контролю (нагляду) не виявлені факти порушення вимог законодавства, або</w:t>
      </w:r>
    </w:p>
    <w:p w14:paraId="454E7C8C" w14:textId="2FD79D50"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 виявлені порушення не становлять суттєву загрозу для життя та/або здоров’я людини, або навколишнього середовища, або державного та місцевого бюджетів.</w:t>
      </w:r>
    </w:p>
    <w:p w14:paraId="6F0CF0BB" w14:textId="045D7BE8" w:rsidR="00E97D08" w:rsidRPr="008F25EC"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У такому випадку наступний плановий захід державного нагляду (контролю) щодо такого суб’єкта господарювання проводиться відповідним органом державного нагляду (контролю) не раніше, ніж через період, що встановлений для відповідного ступеню ризику, збільшений в півтора рази.</w:t>
      </w:r>
    </w:p>
    <w:p w14:paraId="5E7C2906" w14:textId="00A1684B" w:rsidR="00E97D08" w:rsidRDefault="00E74AD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Таке зменшення не застосовується до суб’єктів господарювання, віднесених до високого ступеня ризику у сфері безпеки харчових продуктів, пожежної безпеки, охорони праці та санітарного та епідеміологічного благополуччя.</w:t>
      </w:r>
    </w:p>
    <w:p w14:paraId="4B2AAE9B" w14:textId="77777777" w:rsidR="00BD3B15" w:rsidRPr="008F25EC" w:rsidRDefault="00BD3B15" w:rsidP="00BD3B15">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5C3EA504" w14:textId="7FA2B100" w:rsidR="00E97D08" w:rsidRPr="00BD3B15" w:rsidRDefault="00E74ADB"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 xml:space="preserve">Вимоги до </w:t>
      </w:r>
      <w:r w:rsidRPr="008F25EC">
        <w:rPr>
          <w:rFonts w:ascii="Times New Roman" w:hAnsi="Times New Roman" w:cs="Times New Roman"/>
          <w:b/>
          <w:sz w:val="28"/>
          <w:szCs w:val="28"/>
          <w:lang w:val="uk-UA"/>
        </w:rPr>
        <w:t>перегляду</w:t>
      </w:r>
      <w:r w:rsidRPr="00BD3B15">
        <w:rPr>
          <w:rFonts w:ascii="Times New Roman" w:hAnsi="Times New Roman" w:cs="Times New Roman"/>
          <w:b/>
          <w:sz w:val="28"/>
          <w:szCs w:val="28"/>
          <w:lang w:val="uk-UA"/>
        </w:rPr>
        <w:t xml:space="preserve"> критеріїв</w:t>
      </w:r>
    </w:p>
    <w:p w14:paraId="6A4D827C" w14:textId="3C40B7C8" w:rsidR="00E97D08" w:rsidRPr="008F25EC" w:rsidRDefault="00A87A61"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У зв’язку з тим, що </w:t>
      </w:r>
      <w:r w:rsidR="00E74ADB" w:rsidRPr="008F25EC">
        <w:rPr>
          <w:rFonts w:ascii="Times New Roman" w:hAnsi="Times New Roman" w:cs="Times New Roman"/>
          <w:color w:val="000000"/>
          <w:sz w:val="28"/>
          <w:szCs w:val="28"/>
          <w:shd w:val="clear" w:color="auto" w:fill="FFFFFF"/>
          <w:lang w:val="uk-UA"/>
        </w:rPr>
        <w:t>ступінь ризику може змінюватися внаслідок розвитку технологій, зміни економічної ситуації в державі, а також внаслідок діяльності з управління ризиками самих суб’єктів господарювання, що підлягають</w:t>
      </w:r>
      <w:r w:rsidR="00EA2780" w:rsidRPr="008F25EC">
        <w:rPr>
          <w:rFonts w:ascii="Times New Roman" w:hAnsi="Times New Roman" w:cs="Times New Roman"/>
          <w:color w:val="000000"/>
          <w:sz w:val="28"/>
          <w:szCs w:val="28"/>
          <w:shd w:val="clear" w:color="auto" w:fill="FFFFFF"/>
          <w:lang w:val="uk-UA"/>
        </w:rPr>
        <w:t xml:space="preserve"> державному нагляду (контролю), </w:t>
      </w:r>
      <w:r w:rsidR="00E74ADB" w:rsidRPr="008F25EC">
        <w:rPr>
          <w:rFonts w:ascii="Times New Roman" w:hAnsi="Times New Roman" w:cs="Times New Roman"/>
          <w:color w:val="000000"/>
          <w:sz w:val="28"/>
          <w:szCs w:val="28"/>
          <w:shd w:val="clear" w:color="auto" w:fill="FFFFFF"/>
          <w:lang w:val="uk-UA"/>
        </w:rPr>
        <w:t>критерії</w:t>
      </w:r>
      <w:r w:rsidR="00EA2780" w:rsidRPr="008F25EC">
        <w:rPr>
          <w:rFonts w:ascii="Times New Roman" w:hAnsi="Times New Roman" w:cs="Times New Roman"/>
          <w:color w:val="000000"/>
          <w:sz w:val="28"/>
          <w:szCs w:val="28"/>
          <w:shd w:val="clear" w:color="auto" w:fill="FFFFFF"/>
          <w:lang w:val="uk-UA"/>
        </w:rPr>
        <w:t xml:space="preserve"> підлягають періодичному перегляду</w:t>
      </w:r>
      <w:r w:rsidR="00E45E74" w:rsidRPr="008F25EC">
        <w:rPr>
          <w:rFonts w:ascii="Times New Roman" w:hAnsi="Times New Roman" w:cs="Times New Roman"/>
          <w:color w:val="000000"/>
          <w:sz w:val="28"/>
          <w:szCs w:val="28"/>
          <w:shd w:val="clear" w:color="auto" w:fill="FFFFFF"/>
          <w:lang w:val="uk-UA"/>
        </w:rPr>
        <w:t xml:space="preserve"> на основі даних, отриманих в результаті проведення заходів державного нагляду (контролю), та іншої доступної інформації</w:t>
      </w:r>
      <w:r w:rsidR="00A72004" w:rsidRPr="008F25EC">
        <w:rPr>
          <w:rFonts w:ascii="Times New Roman" w:hAnsi="Times New Roman" w:cs="Times New Roman"/>
          <w:color w:val="000000"/>
          <w:sz w:val="28"/>
          <w:szCs w:val="28"/>
          <w:shd w:val="clear" w:color="auto" w:fill="FFFFFF"/>
          <w:lang w:val="uk-UA"/>
        </w:rPr>
        <w:t xml:space="preserve"> про ризики</w:t>
      </w:r>
      <w:r w:rsidR="00E74ADB" w:rsidRPr="008F25EC">
        <w:rPr>
          <w:rFonts w:ascii="Times New Roman" w:hAnsi="Times New Roman" w:cs="Times New Roman"/>
          <w:color w:val="000000"/>
          <w:sz w:val="28"/>
          <w:szCs w:val="28"/>
          <w:shd w:val="clear" w:color="auto" w:fill="FFFFFF"/>
          <w:lang w:val="uk-UA"/>
        </w:rPr>
        <w:t>.</w:t>
      </w:r>
      <w:bookmarkStart w:id="17" w:name="_Ref476049723"/>
    </w:p>
    <w:p w14:paraId="4B9E35BC" w14:textId="29A4FB21" w:rsidR="00E97D08" w:rsidRPr="008F25EC" w:rsidRDefault="00E74ADB"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Орган державного нагляду (контролю) переглядає </w:t>
      </w:r>
      <w:r w:rsidR="00A87A61" w:rsidRPr="008F25EC">
        <w:rPr>
          <w:rFonts w:ascii="Times New Roman" w:hAnsi="Times New Roman" w:cs="Times New Roman"/>
          <w:color w:val="000000"/>
          <w:sz w:val="28"/>
          <w:szCs w:val="28"/>
          <w:shd w:val="clear" w:color="auto" w:fill="FFFFFF"/>
          <w:lang w:val="uk-UA"/>
        </w:rPr>
        <w:t xml:space="preserve">зміст та структуру </w:t>
      </w:r>
      <w:r w:rsidRPr="008F25EC">
        <w:rPr>
          <w:rFonts w:ascii="Times New Roman" w:hAnsi="Times New Roman" w:cs="Times New Roman"/>
          <w:color w:val="000000"/>
          <w:sz w:val="28"/>
          <w:szCs w:val="28"/>
          <w:shd w:val="clear" w:color="auto" w:fill="FFFFFF"/>
          <w:lang w:val="uk-UA"/>
        </w:rPr>
        <w:t>критерії</w:t>
      </w:r>
      <w:r w:rsidR="00A87A61" w:rsidRPr="008F25EC">
        <w:rPr>
          <w:rFonts w:ascii="Times New Roman" w:hAnsi="Times New Roman" w:cs="Times New Roman"/>
          <w:color w:val="000000"/>
          <w:sz w:val="28"/>
          <w:szCs w:val="28"/>
          <w:shd w:val="clear" w:color="auto" w:fill="FFFFFF"/>
          <w:lang w:val="uk-UA"/>
        </w:rPr>
        <w:t>в, включаючи</w:t>
      </w:r>
      <w:r w:rsidR="005178C6" w:rsidRPr="008F25EC">
        <w:rPr>
          <w:rFonts w:ascii="Times New Roman" w:hAnsi="Times New Roman" w:cs="Times New Roman"/>
          <w:color w:val="000000"/>
          <w:sz w:val="28"/>
          <w:szCs w:val="28"/>
          <w:shd w:val="clear" w:color="auto" w:fill="FFFFFF"/>
          <w:lang w:val="uk-UA"/>
        </w:rPr>
        <w:t xml:space="preserve"> їх вагомість та зміст</w:t>
      </w:r>
      <w:r w:rsidRPr="008F25EC">
        <w:rPr>
          <w:rFonts w:ascii="Times New Roman" w:hAnsi="Times New Roman" w:cs="Times New Roman"/>
          <w:color w:val="000000"/>
          <w:sz w:val="28"/>
          <w:szCs w:val="28"/>
          <w:shd w:val="clear" w:color="auto" w:fill="FFFFFF"/>
          <w:lang w:val="uk-UA"/>
        </w:rPr>
        <w:t>, н</w:t>
      </w:r>
      <w:r w:rsidR="0017749C" w:rsidRPr="008F25EC">
        <w:rPr>
          <w:rFonts w:ascii="Times New Roman" w:hAnsi="Times New Roman" w:cs="Times New Roman"/>
          <w:color w:val="000000"/>
          <w:sz w:val="28"/>
          <w:szCs w:val="28"/>
          <w:shd w:val="clear" w:color="auto" w:fill="FFFFFF"/>
          <w:lang w:val="uk-UA"/>
        </w:rPr>
        <w:t>е рідше одного разу на три роки.</w:t>
      </w:r>
      <w:bookmarkEnd w:id="17"/>
    </w:p>
    <w:p w14:paraId="0F8041D2" w14:textId="5644CF3A" w:rsidR="00E97D08" w:rsidRPr="008F25EC" w:rsidRDefault="00333AF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У разі</w:t>
      </w:r>
      <w:r w:rsidR="001A02C2" w:rsidRPr="008F25EC">
        <w:rPr>
          <w:rFonts w:ascii="Times New Roman" w:hAnsi="Times New Roman" w:cs="Times New Roman"/>
          <w:color w:val="000000"/>
          <w:sz w:val="28"/>
          <w:szCs w:val="28"/>
          <w:shd w:val="clear" w:color="auto" w:fill="FFFFFF"/>
          <w:lang w:val="uk-UA"/>
        </w:rPr>
        <w:t xml:space="preserve"> якщо з часом критерій втрачає свою актуальність, </w:t>
      </w:r>
      <w:r w:rsidRPr="008F25EC">
        <w:rPr>
          <w:rFonts w:ascii="Times New Roman" w:hAnsi="Times New Roman" w:cs="Times New Roman"/>
          <w:color w:val="000000"/>
          <w:sz w:val="28"/>
          <w:szCs w:val="28"/>
          <w:shd w:val="clear" w:color="auto" w:fill="FFFFFF"/>
          <w:lang w:val="uk-UA"/>
        </w:rPr>
        <w:t>слід</w:t>
      </w:r>
      <w:r w:rsidR="001A02C2" w:rsidRPr="008F25EC">
        <w:rPr>
          <w:rFonts w:ascii="Times New Roman" w:hAnsi="Times New Roman" w:cs="Times New Roman"/>
          <w:color w:val="000000"/>
          <w:sz w:val="28"/>
          <w:szCs w:val="28"/>
          <w:shd w:val="clear" w:color="auto" w:fill="FFFFFF"/>
          <w:lang w:val="uk-UA"/>
        </w:rPr>
        <w:t xml:space="preserve"> знижуват</w:t>
      </w:r>
      <w:r w:rsidR="00BC401A" w:rsidRPr="008F25EC">
        <w:rPr>
          <w:rFonts w:ascii="Times New Roman" w:hAnsi="Times New Roman" w:cs="Times New Roman"/>
          <w:color w:val="000000"/>
          <w:sz w:val="28"/>
          <w:szCs w:val="28"/>
          <w:shd w:val="clear" w:color="auto" w:fill="FFFFFF"/>
          <w:lang w:val="uk-UA"/>
        </w:rPr>
        <w:t>и його значення відносно інших критеріїв</w:t>
      </w:r>
      <w:r w:rsidR="001A02C2" w:rsidRPr="008F25EC">
        <w:rPr>
          <w:rFonts w:ascii="Times New Roman" w:hAnsi="Times New Roman" w:cs="Times New Roman"/>
          <w:color w:val="000000"/>
          <w:sz w:val="28"/>
          <w:szCs w:val="28"/>
          <w:shd w:val="clear" w:color="auto" w:fill="FFFFFF"/>
          <w:lang w:val="uk-UA"/>
        </w:rPr>
        <w:t xml:space="preserve"> при визначенні ступеня ризику.</w:t>
      </w:r>
    </w:p>
    <w:p w14:paraId="4669C492" w14:textId="1E586552" w:rsidR="00E97D08" w:rsidRPr="008F25EC" w:rsidRDefault="002A3E29"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Суб’єкт господарювання, </w:t>
      </w:r>
      <w:r w:rsidR="00356AA3" w:rsidRPr="008F25EC">
        <w:rPr>
          <w:rFonts w:ascii="Times New Roman" w:hAnsi="Times New Roman" w:cs="Times New Roman"/>
          <w:color w:val="000000"/>
          <w:sz w:val="28"/>
          <w:szCs w:val="28"/>
          <w:shd w:val="clear" w:color="auto" w:fill="FFFFFF"/>
          <w:lang w:val="uk-UA"/>
        </w:rPr>
        <w:t xml:space="preserve">що </w:t>
      </w:r>
      <w:r w:rsidRPr="008F25EC">
        <w:rPr>
          <w:rFonts w:ascii="Times New Roman" w:hAnsi="Times New Roman" w:cs="Times New Roman"/>
          <w:color w:val="000000"/>
          <w:sz w:val="28"/>
          <w:szCs w:val="28"/>
          <w:shd w:val="clear" w:color="auto" w:fill="FFFFFF"/>
          <w:lang w:val="uk-UA"/>
        </w:rPr>
        <w:t xml:space="preserve">підлягає </w:t>
      </w:r>
      <w:r w:rsidR="002706ED" w:rsidRPr="008F25EC">
        <w:rPr>
          <w:rFonts w:ascii="Times New Roman" w:hAnsi="Times New Roman" w:cs="Times New Roman"/>
          <w:color w:val="000000"/>
          <w:sz w:val="28"/>
          <w:szCs w:val="28"/>
          <w:shd w:val="clear" w:color="auto" w:fill="FFFFFF"/>
          <w:lang w:val="uk-UA"/>
        </w:rPr>
        <w:t>нагляду (контролю)</w:t>
      </w:r>
      <w:r w:rsidR="004906CA" w:rsidRPr="008F25EC">
        <w:rPr>
          <w:rFonts w:ascii="Times New Roman" w:hAnsi="Times New Roman" w:cs="Times New Roman"/>
          <w:color w:val="000000"/>
          <w:sz w:val="28"/>
          <w:szCs w:val="28"/>
          <w:shd w:val="clear" w:color="auto" w:fill="FFFFFF"/>
          <w:lang w:val="uk-UA"/>
        </w:rPr>
        <w:t xml:space="preserve"> у відповідній сфері</w:t>
      </w:r>
      <w:r w:rsidR="004C2A0B" w:rsidRPr="008F25EC">
        <w:rPr>
          <w:rFonts w:ascii="Times New Roman" w:hAnsi="Times New Roman" w:cs="Times New Roman"/>
          <w:color w:val="000000"/>
          <w:sz w:val="28"/>
          <w:szCs w:val="28"/>
          <w:shd w:val="clear" w:color="auto" w:fill="FFFFFF"/>
          <w:lang w:val="uk-UA"/>
        </w:rPr>
        <w:t>,</w:t>
      </w:r>
      <w:r w:rsidR="002706ED" w:rsidRPr="008F25EC">
        <w:rPr>
          <w:rFonts w:ascii="Times New Roman" w:hAnsi="Times New Roman" w:cs="Times New Roman"/>
          <w:color w:val="000000"/>
          <w:sz w:val="28"/>
          <w:szCs w:val="28"/>
          <w:shd w:val="clear" w:color="auto" w:fill="FFFFFF"/>
          <w:lang w:val="uk-UA"/>
        </w:rPr>
        <w:t xml:space="preserve"> має </w:t>
      </w:r>
      <w:r w:rsidR="004C2A0B" w:rsidRPr="008F25EC">
        <w:rPr>
          <w:rFonts w:ascii="Times New Roman" w:hAnsi="Times New Roman" w:cs="Times New Roman"/>
          <w:color w:val="000000"/>
          <w:sz w:val="28"/>
          <w:szCs w:val="28"/>
          <w:shd w:val="clear" w:color="auto" w:fill="FFFFFF"/>
          <w:lang w:val="uk-UA"/>
        </w:rPr>
        <w:t xml:space="preserve">право звернутися до органу державного нагляду (контролю) </w:t>
      </w:r>
      <w:r w:rsidR="00016810" w:rsidRPr="008F25EC">
        <w:rPr>
          <w:rFonts w:ascii="Times New Roman" w:hAnsi="Times New Roman" w:cs="Times New Roman"/>
          <w:color w:val="000000"/>
          <w:sz w:val="28"/>
          <w:szCs w:val="28"/>
          <w:shd w:val="clear" w:color="auto" w:fill="FFFFFF"/>
          <w:lang w:val="uk-UA"/>
        </w:rPr>
        <w:t>із зверненням щодо перегляду</w:t>
      </w:r>
      <w:r w:rsidR="004C2A0B" w:rsidRPr="008F25EC">
        <w:rPr>
          <w:rFonts w:ascii="Times New Roman" w:hAnsi="Times New Roman" w:cs="Times New Roman"/>
          <w:color w:val="000000"/>
          <w:sz w:val="28"/>
          <w:szCs w:val="28"/>
          <w:shd w:val="clear" w:color="auto" w:fill="FFFFFF"/>
          <w:lang w:val="uk-UA"/>
        </w:rPr>
        <w:t xml:space="preserve"> критерії</w:t>
      </w:r>
      <w:r w:rsidR="00016810" w:rsidRPr="008F25EC">
        <w:rPr>
          <w:rFonts w:ascii="Times New Roman" w:hAnsi="Times New Roman" w:cs="Times New Roman"/>
          <w:color w:val="000000"/>
          <w:sz w:val="28"/>
          <w:szCs w:val="28"/>
          <w:shd w:val="clear" w:color="auto" w:fill="FFFFFF"/>
          <w:lang w:val="uk-UA"/>
        </w:rPr>
        <w:t>в</w:t>
      </w:r>
      <w:r w:rsidR="00E85AB2" w:rsidRPr="008F25EC">
        <w:rPr>
          <w:rFonts w:ascii="Times New Roman" w:hAnsi="Times New Roman" w:cs="Times New Roman"/>
          <w:color w:val="000000"/>
          <w:sz w:val="28"/>
          <w:szCs w:val="28"/>
          <w:shd w:val="clear" w:color="auto" w:fill="FFFFFF"/>
          <w:lang w:val="uk-UA"/>
        </w:rPr>
        <w:t xml:space="preserve">. Орган державного нагляду (контролю) </w:t>
      </w:r>
      <w:r w:rsidR="00BE40EB" w:rsidRPr="008F25EC">
        <w:rPr>
          <w:rFonts w:ascii="Times New Roman" w:hAnsi="Times New Roman" w:cs="Times New Roman"/>
          <w:color w:val="000000"/>
          <w:sz w:val="28"/>
          <w:szCs w:val="28"/>
          <w:shd w:val="clear" w:color="auto" w:fill="FFFFFF"/>
          <w:lang w:val="uk-UA"/>
        </w:rPr>
        <w:t xml:space="preserve">розглядає таку пропозицію та надає свою мотивовану відмову або ініціює перегляд критеріїв, про що повідомляє </w:t>
      </w:r>
      <w:r w:rsidR="004906CA" w:rsidRPr="008F25EC">
        <w:rPr>
          <w:rFonts w:ascii="Times New Roman" w:hAnsi="Times New Roman" w:cs="Times New Roman"/>
          <w:color w:val="000000"/>
          <w:sz w:val="28"/>
          <w:szCs w:val="28"/>
          <w:shd w:val="clear" w:color="auto" w:fill="FFFFFF"/>
          <w:lang w:val="uk-UA"/>
        </w:rPr>
        <w:t>такого</w:t>
      </w:r>
      <w:r w:rsidR="00BE40EB" w:rsidRPr="008F25EC">
        <w:rPr>
          <w:rFonts w:ascii="Times New Roman" w:hAnsi="Times New Roman" w:cs="Times New Roman"/>
          <w:color w:val="000000"/>
          <w:sz w:val="28"/>
          <w:szCs w:val="28"/>
          <w:shd w:val="clear" w:color="auto" w:fill="FFFFFF"/>
          <w:lang w:val="uk-UA"/>
        </w:rPr>
        <w:t xml:space="preserve"> суб’єкта господарювання.</w:t>
      </w:r>
    </w:p>
    <w:p w14:paraId="62A6E01E" w14:textId="199FF927" w:rsidR="00E97D08" w:rsidRPr="008F25EC" w:rsidRDefault="00BE40EB"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У разі, якщо </w:t>
      </w:r>
      <w:r w:rsidR="00536609" w:rsidRPr="008F25EC">
        <w:rPr>
          <w:rFonts w:ascii="Times New Roman" w:hAnsi="Times New Roman" w:cs="Times New Roman"/>
          <w:color w:val="000000"/>
          <w:sz w:val="28"/>
          <w:szCs w:val="28"/>
          <w:shd w:val="clear" w:color="auto" w:fill="FFFFFF"/>
          <w:lang w:val="uk-UA"/>
        </w:rPr>
        <w:t>критерії не переглядалися протягом строку, в</w:t>
      </w:r>
      <w:r w:rsidR="004906CA" w:rsidRPr="008F25EC">
        <w:rPr>
          <w:rFonts w:ascii="Times New Roman" w:hAnsi="Times New Roman" w:cs="Times New Roman"/>
          <w:color w:val="000000"/>
          <w:sz w:val="28"/>
          <w:szCs w:val="28"/>
          <w:shd w:val="clear" w:color="auto" w:fill="FFFFFF"/>
          <w:lang w:val="uk-UA"/>
        </w:rPr>
        <w:t>становленого</w:t>
      </w:r>
      <w:r w:rsidR="00536609" w:rsidRPr="008F25EC">
        <w:rPr>
          <w:rFonts w:ascii="Times New Roman" w:hAnsi="Times New Roman" w:cs="Times New Roman"/>
          <w:color w:val="000000"/>
          <w:sz w:val="28"/>
          <w:szCs w:val="28"/>
          <w:shd w:val="clear" w:color="auto" w:fill="FFFFFF"/>
          <w:lang w:val="uk-UA"/>
        </w:rPr>
        <w:t xml:space="preserve"> </w:t>
      </w:r>
      <w:r w:rsidR="004906CA" w:rsidRPr="008F25EC">
        <w:rPr>
          <w:rFonts w:ascii="Times New Roman" w:hAnsi="Times New Roman" w:cs="Times New Roman"/>
          <w:color w:val="000000"/>
          <w:sz w:val="28"/>
          <w:szCs w:val="28"/>
          <w:shd w:val="clear" w:color="auto" w:fill="FFFFFF"/>
          <w:lang w:val="uk-UA"/>
        </w:rPr>
        <w:t>пунктом</w:t>
      </w:r>
      <w:r w:rsidR="00536609" w:rsidRPr="008F25EC">
        <w:rPr>
          <w:rFonts w:ascii="Times New Roman" w:hAnsi="Times New Roman" w:cs="Times New Roman"/>
          <w:color w:val="000000"/>
          <w:sz w:val="28"/>
          <w:szCs w:val="28"/>
          <w:shd w:val="clear" w:color="auto" w:fill="FFFFFF"/>
          <w:lang w:val="uk-UA"/>
        </w:rPr>
        <w:t xml:space="preserve"> </w:t>
      </w:r>
      <w:r w:rsidR="00536609" w:rsidRPr="008F25EC">
        <w:rPr>
          <w:rFonts w:ascii="Times New Roman" w:hAnsi="Times New Roman" w:cs="Times New Roman"/>
          <w:color w:val="000000"/>
          <w:sz w:val="28"/>
          <w:szCs w:val="28"/>
          <w:shd w:val="clear" w:color="auto" w:fill="FFFFFF"/>
          <w:lang w:val="uk-UA"/>
        </w:rPr>
        <w:fldChar w:fldCharType="begin"/>
      </w:r>
      <w:r w:rsidR="00536609" w:rsidRPr="008F25EC">
        <w:rPr>
          <w:rFonts w:ascii="Times New Roman" w:hAnsi="Times New Roman" w:cs="Times New Roman"/>
          <w:color w:val="000000"/>
          <w:sz w:val="28"/>
          <w:szCs w:val="28"/>
          <w:shd w:val="clear" w:color="auto" w:fill="FFFFFF"/>
          <w:lang w:val="uk-UA"/>
        </w:rPr>
        <w:instrText xml:space="preserve"> REF _Ref476049723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536609" w:rsidRPr="008F25EC">
        <w:rPr>
          <w:rFonts w:ascii="Times New Roman" w:hAnsi="Times New Roman" w:cs="Times New Roman"/>
          <w:color w:val="000000"/>
          <w:sz w:val="28"/>
          <w:szCs w:val="28"/>
          <w:shd w:val="clear" w:color="auto" w:fill="FFFFFF"/>
          <w:lang w:val="uk-UA"/>
        </w:rPr>
      </w:r>
      <w:r w:rsidR="00536609"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49</w:t>
      </w:r>
      <w:r w:rsidR="00536609" w:rsidRPr="008F25EC">
        <w:rPr>
          <w:rFonts w:ascii="Times New Roman" w:hAnsi="Times New Roman" w:cs="Times New Roman"/>
          <w:color w:val="000000"/>
          <w:sz w:val="28"/>
          <w:szCs w:val="28"/>
          <w:shd w:val="clear" w:color="auto" w:fill="FFFFFF"/>
          <w:lang w:val="uk-UA"/>
        </w:rPr>
        <w:fldChar w:fldCharType="end"/>
      </w:r>
      <w:r w:rsidR="00536609" w:rsidRPr="008F25EC">
        <w:rPr>
          <w:rFonts w:ascii="Times New Roman" w:hAnsi="Times New Roman" w:cs="Times New Roman"/>
          <w:color w:val="000000"/>
          <w:sz w:val="28"/>
          <w:szCs w:val="28"/>
          <w:shd w:val="clear" w:color="auto" w:fill="FFFFFF"/>
          <w:lang w:val="uk-UA"/>
        </w:rPr>
        <w:t xml:space="preserve"> вище, орган державного нагляду (контролю) зобов’язаний </w:t>
      </w:r>
      <w:r w:rsidR="00536609" w:rsidRPr="008F25EC">
        <w:rPr>
          <w:rFonts w:ascii="Times New Roman" w:hAnsi="Times New Roman" w:cs="Times New Roman"/>
          <w:color w:val="000000"/>
          <w:sz w:val="28"/>
          <w:szCs w:val="28"/>
          <w:shd w:val="clear" w:color="auto" w:fill="FFFFFF"/>
          <w:lang w:val="uk-UA"/>
        </w:rPr>
        <w:lastRenderedPageBreak/>
        <w:t>і</w:t>
      </w:r>
      <w:r w:rsidR="00016810" w:rsidRPr="008F25EC">
        <w:rPr>
          <w:rFonts w:ascii="Times New Roman" w:hAnsi="Times New Roman" w:cs="Times New Roman"/>
          <w:color w:val="000000"/>
          <w:sz w:val="28"/>
          <w:szCs w:val="28"/>
          <w:shd w:val="clear" w:color="auto" w:fill="FFFFFF"/>
          <w:lang w:val="uk-UA"/>
        </w:rPr>
        <w:t xml:space="preserve">ніціювати перегляд критеріїв у </w:t>
      </w:r>
      <w:r w:rsidR="003365E7" w:rsidRPr="008F25EC">
        <w:rPr>
          <w:rFonts w:ascii="Times New Roman" w:hAnsi="Times New Roman" w:cs="Times New Roman"/>
          <w:color w:val="000000"/>
          <w:sz w:val="28"/>
          <w:szCs w:val="28"/>
          <w:shd w:val="clear" w:color="auto" w:fill="FFFFFF"/>
          <w:lang w:val="uk-UA"/>
        </w:rPr>
        <w:t xml:space="preserve">разі отримання звернення про такий перегляд </w:t>
      </w:r>
      <w:r w:rsidR="00016810" w:rsidRPr="008F25EC">
        <w:rPr>
          <w:rFonts w:ascii="Times New Roman" w:hAnsi="Times New Roman" w:cs="Times New Roman"/>
          <w:color w:val="000000"/>
          <w:sz w:val="28"/>
          <w:szCs w:val="28"/>
          <w:shd w:val="clear" w:color="auto" w:fill="FFFFFF"/>
          <w:lang w:val="uk-UA"/>
        </w:rPr>
        <w:t xml:space="preserve">від суб’єкта господарювання, що </w:t>
      </w:r>
      <w:r w:rsidR="003365E7" w:rsidRPr="008F25EC">
        <w:rPr>
          <w:rFonts w:ascii="Times New Roman" w:hAnsi="Times New Roman" w:cs="Times New Roman"/>
          <w:color w:val="000000"/>
          <w:sz w:val="28"/>
          <w:szCs w:val="28"/>
          <w:shd w:val="clear" w:color="auto" w:fill="FFFFFF"/>
          <w:lang w:val="uk-UA"/>
        </w:rPr>
        <w:t>підлягає нагляду (контролю) у відповідній сфері.</w:t>
      </w:r>
    </w:p>
    <w:p w14:paraId="36F0B8E3" w14:textId="48DF7C81" w:rsidR="00E97D08" w:rsidRDefault="003365E7"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Орган державного нагляду (контролю) </w:t>
      </w:r>
      <w:r w:rsidR="00170349" w:rsidRPr="008F25EC">
        <w:rPr>
          <w:rFonts w:ascii="Times New Roman" w:hAnsi="Times New Roman" w:cs="Times New Roman"/>
          <w:color w:val="000000"/>
          <w:sz w:val="28"/>
          <w:szCs w:val="28"/>
          <w:shd w:val="clear" w:color="auto" w:fill="FFFFFF"/>
          <w:lang w:val="uk-UA"/>
        </w:rPr>
        <w:t>залучає до перегляду критеріїв суб’єктів господарювання, що підлягають державному нагляду (контролю) у відповідній сфері.</w:t>
      </w:r>
      <w:r w:rsidR="00D32746" w:rsidRPr="008F25EC">
        <w:rPr>
          <w:rFonts w:ascii="Times New Roman" w:hAnsi="Times New Roman" w:cs="Times New Roman"/>
          <w:color w:val="000000"/>
          <w:sz w:val="28"/>
          <w:szCs w:val="28"/>
          <w:shd w:val="clear" w:color="auto" w:fill="FFFFFF"/>
          <w:lang w:val="uk-UA"/>
        </w:rPr>
        <w:t xml:space="preserve"> Рішення, прийняті в результаті перегляду</w:t>
      </w:r>
      <w:r w:rsidR="00FC2B6C" w:rsidRPr="008F25EC">
        <w:rPr>
          <w:rFonts w:ascii="Times New Roman" w:hAnsi="Times New Roman" w:cs="Times New Roman"/>
          <w:color w:val="000000"/>
          <w:sz w:val="28"/>
          <w:szCs w:val="28"/>
          <w:shd w:val="clear" w:color="auto" w:fill="FFFFFF"/>
          <w:lang w:val="uk-UA"/>
        </w:rPr>
        <w:t xml:space="preserve"> (наприклад, розроблення змін до постанови, якою затверджені критерії, або відсутність необхідності змінювати критерії</w:t>
      </w:r>
      <w:r w:rsidR="00D32746" w:rsidRPr="008F25EC">
        <w:rPr>
          <w:rFonts w:ascii="Times New Roman" w:hAnsi="Times New Roman" w:cs="Times New Roman"/>
          <w:color w:val="000000"/>
          <w:sz w:val="28"/>
          <w:szCs w:val="28"/>
          <w:shd w:val="clear" w:color="auto" w:fill="FFFFFF"/>
          <w:lang w:val="uk-UA"/>
        </w:rPr>
        <w:t xml:space="preserve">), </w:t>
      </w:r>
      <w:r w:rsidR="001A02C2" w:rsidRPr="008F25EC">
        <w:rPr>
          <w:rFonts w:ascii="Times New Roman" w:hAnsi="Times New Roman" w:cs="Times New Roman"/>
          <w:color w:val="000000"/>
          <w:sz w:val="28"/>
          <w:szCs w:val="28"/>
          <w:shd w:val="clear" w:color="auto" w:fill="FFFFFF"/>
          <w:lang w:val="uk-UA"/>
        </w:rPr>
        <w:t xml:space="preserve">орган </w:t>
      </w:r>
      <w:r w:rsidR="00D32746" w:rsidRPr="008F25EC">
        <w:rPr>
          <w:rFonts w:ascii="Times New Roman" w:hAnsi="Times New Roman" w:cs="Times New Roman"/>
          <w:color w:val="000000"/>
          <w:sz w:val="28"/>
          <w:szCs w:val="28"/>
          <w:shd w:val="clear" w:color="auto" w:fill="FFFFFF"/>
          <w:lang w:val="uk-UA"/>
        </w:rPr>
        <w:t xml:space="preserve">державного нагляду (контролю) </w:t>
      </w:r>
      <w:r w:rsidR="001A02C2" w:rsidRPr="008F25EC">
        <w:rPr>
          <w:rFonts w:ascii="Times New Roman" w:hAnsi="Times New Roman" w:cs="Times New Roman"/>
          <w:color w:val="000000"/>
          <w:sz w:val="28"/>
          <w:szCs w:val="28"/>
          <w:shd w:val="clear" w:color="auto" w:fill="FFFFFF"/>
          <w:lang w:val="uk-UA"/>
        </w:rPr>
        <w:t xml:space="preserve">публікує </w:t>
      </w:r>
      <w:r w:rsidR="00D32746" w:rsidRPr="008F25EC">
        <w:rPr>
          <w:rFonts w:ascii="Times New Roman" w:hAnsi="Times New Roman" w:cs="Times New Roman"/>
          <w:color w:val="000000"/>
          <w:sz w:val="28"/>
          <w:szCs w:val="28"/>
          <w:shd w:val="clear" w:color="auto" w:fill="FFFFFF"/>
          <w:lang w:val="uk-UA"/>
        </w:rPr>
        <w:t>на своєму офіційному веб-сайті.</w:t>
      </w:r>
    </w:p>
    <w:p w14:paraId="40B83D2D" w14:textId="77777777" w:rsidR="00BD3B15" w:rsidRPr="00BD3B15" w:rsidRDefault="00BD3B15" w:rsidP="00BD3B15">
      <w:pPr>
        <w:tabs>
          <w:tab w:val="left" w:pos="993"/>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4BF1BC13" w14:textId="4500A885" w:rsidR="00E97D08" w:rsidRPr="00BD3B15" w:rsidRDefault="00466FB4"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Міжнародні зобов’язання</w:t>
      </w:r>
      <w:bookmarkStart w:id="18" w:name="_Ref475982499"/>
      <w:bookmarkEnd w:id="18"/>
    </w:p>
    <w:p w14:paraId="13C8F60D" w14:textId="54966772" w:rsidR="00E97D08" w:rsidRPr="008F25EC" w:rsidRDefault="00EC3C5F"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В межах </w:t>
      </w:r>
      <w:r w:rsidR="00CA1A07" w:rsidRPr="008F25EC">
        <w:rPr>
          <w:rFonts w:ascii="Times New Roman" w:hAnsi="Times New Roman" w:cs="Times New Roman"/>
          <w:color w:val="000000"/>
          <w:sz w:val="28"/>
          <w:szCs w:val="28"/>
          <w:shd w:val="clear" w:color="auto" w:fill="FFFFFF"/>
          <w:lang w:val="uk-UA"/>
        </w:rPr>
        <w:t xml:space="preserve">сфери, віднесеної до його відання, </w:t>
      </w:r>
      <w:r w:rsidR="00FF3D1E" w:rsidRPr="008F25EC">
        <w:rPr>
          <w:rFonts w:ascii="Times New Roman" w:hAnsi="Times New Roman" w:cs="Times New Roman"/>
          <w:color w:val="000000"/>
          <w:sz w:val="28"/>
          <w:szCs w:val="28"/>
          <w:shd w:val="clear" w:color="auto" w:fill="FFFFFF"/>
          <w:lang w:val="uk-UA"/>
        </w:rPr>
        <w:t>о</w:t>
      </w:r>
      <w:r w:rsidR="00E60912" w:rsidRPr="008F25EC">
        <w:rPr>
          <w:rFonts w:ascii="Times New Roman" w:hAnsi="Times New Roman" w:cs="Times New Roman"/>
          <w:color w:val="000000"/>
          <w:sz w:val="28"/>
          <w:szCs w:val="28"/>
          <w:shd w:val="clear" w:color="auto" w:fill="FFFFFF"/>
          <w:lang w:val="uk-UA"/>
        </w:rPr>
        <w:t xml:space="preserve">рган </w:t>
      </w:r>
      <w:r w:rsidR="00131CCF" w:rsidRPr="008F25EC">
        <w:rPr>
          <w:rFonts w:ascii="Times New Roman" w:hAnsi="Times New Roman" w:cs="Times New Roman"/>
          <w:color w:val="000000"/>
          <w:sz w:val="28"/>
          <w:szCs w:val="28"/>
          <w:shd w:val="clear" w:color="auto" w:fill="FFFFFF"/>
          <w:lang w:val="uk-UA"/>
        </w:rPr>
        <w:t>державного нагляду (контролю)</w:t>
      </w:r>
      <w:r w:rsidR="00E60912" w:rsidRPr="008F25EC">
        <w:rPr>
          <w:rFonts w:ascii="Times New Roman" w:hAnsi="Times New Roman" w:cs="Times New Roman"/>
          <w:color w:val="000000"/>
          <w:sz w:val="28"/>
          <w:szCs w:val="28"/>
          <w:shd w:val="clear" w:color="auto" w:fill="FFFFFF"/>
          <w:lang w:val="uk-UA"/>
        </w:rPr>
        <w:t xml:space="preserve"> обов’язково враховує чинні міжнародн</w:t>
      </w:r>
      <w:r w:rsidR="0067650A" w:rsidRPr="008F25EC">
        <w:rPr>
          <w:rFonts w:ascii="Times New Roman" w:hAnsi="Times New Roman" w:cs="Times New Roman"/>
          <w:color w:val="000000"/>
          <w:sz w:val="28"/>
          <w:szCs w:val="28"/>
          <w:shd w:val="clear" w:color="auto" w:fill="FFFFFF"/>
          <w:lang w:val="uk-UA"/>
        </w:rPr>
        <w:t xml:space="preserve">о-правові зобов’язання України при розробці </w:t>
      </w:r>
      <w:r w:rsidR="00E60912" w:rsidRPr="008F25EC">
        <w:rPr>
          <w:rFonts w:ascii="Times New Roman" w:hAnsi="Times New Roman" w:cs="Times New Roman"/>
          <w:color w:val="000000"/>
          <w:sz w:val="28"/>
          <w:szCs w:val="28"/>
          <w:shd w:val="clear" w:color="auto" w:fill="FFFFFF"/>
          <w:lang w:val="uk-UA"/>
        </w:rPr>
        <w:t xml:space="preserve">критеріїв та </w:t>
      </w:r>
      <w:r w:rsidR="0067650A" w:rsidRPr="008F25EC">
        <w:rPr>
          <w:rFonts w:ascii="Times New Roman" w:hAnsi="Times New Roman" w:cs="Times New Roman"/>
          <w:color w:val="000000"/>
          <w:sz w:val="28"/>
          <w:szCs w:val="28"/>
          <w:shd w:val="clear" w:color="auto" w:fill="FFFFFF"/>
          <w:lang w:val="uk-UA"/>
        </w:rPr>
        <w:t>визначенні</w:t>
      </w:r>
      <w:r w:rsidR="00E60912" w:rsidRPr="008F25EC">
        <w:rPr>
          <w:rFonts w:ascii="Times New Roman" w:hAnsi="Times New Roman" w:cs="Times New Roman"/>
          <w:color w:val="000000"/>
          <w:sz w:val="28"/>
          <w:szCs w:val="28"/>
          <w:shd w:val="clear" w:color="auto" w:fill="FFFFFF"/>
          <w:lang w:val="uk-UA"/>
        </w:rPr>
        <w:t xml:space="preserve"> періодичності проведення планових заходів державного нагляду (контролю)</w:t>
      </w:r>
      <w:r w:rsidR="00333AFB" w:rsidRPr="008F25EC">
        <w:rPr>
          <w:rFonts w:ascii="Times New Roman" w:hAnsi="Times New Roman" w:cs="Times New Roman"/>
          <w:color w:val="000000"/>
          <w:sz w:val="28"/>
          <w:szCs w:val="28"/>
          <w:shd w:val="clear" w:color="auto" w:fill="FFFFFF"/>
          <w:lang w:val="uk-UA"/>
        </w:rPr>
        <w:t>,</w:t>
      </w:r>
      <w:r w:rsidR="0067650A" w:rsidRPr="008F25EC">
        <w:rPr>
          <w:rFonts w:ascii="Times New Roman" w:hAnsi="Times New Roman" w:cs="Times New Roman"/>
          <w:color w:val="000000"/>
          <w:sz w:val="28"/>
          <w:szCs w:val="28"/>
          <w:shd w:val="clear" w:color="auto" w:fill="FFFFFF"/>
          <w:lang w:val="uk-UA"/>
        </w:rPr>
        <w:t xml:space="preserve"> які,</w:t>
      </w:r>
      <w:r w:rsidR="00333AFB" w:rsidRPr="008F25EC">
        <w:rPr>
          <w:rFonts w:ascii="Times New Roman" w:hAnsi="Times New Roman" w:cs="Times New Roman"/>
          <w:color w:val="000000"/>
          <w:sz w:val="28"/>
          <w:szCs w:val="28"/>
          <w:shd w:val="clear" w:color="auto" w:fill="FFFFFF"/>
          <w:lang w:val="uk-UA"/>
        </w:rPr>
        <w:t xml:space="preserve"> зокрема, але не виключ</w:t>
      </w:r>
      <w:r w:rsidR="00B829D2" w:rsidRPr="008F25EC">
        <w:rPr>
          <w:rFonts w:ascii="Times New Roman" w:hAnsi="Times New Roman" w:cs="Times New Roman"/>
          <w:color w:val="000000"/>
          <w:sz w:val="28"/>
          <w:szCs w:val="28"/>
          <w:shd w:val="clear" w:color="auto" w:fill="FFFFFF"/>
          <w:lang w:val="uk-UA"/>
        </w:rPr>
        <w:t>но</w:t>
      </w:r>
      <w:r w:rsidR="00333AFB" w:rsidRPr="008F25EC">
        <w:rPr>
          <w:rFonts w:ascii="Times New Roman" w:hAnsi="Times New Roman" w:cs="Times New Roman"/>
          <w:color w:val="000000"/>
          <w:sz w:val="28"/>
          <w:szCs w:val="28"/>
          <w:shd w:val="clear" w:color="auto" w:fill="FFFFFF"/>
          <w:lang w:val="uk-UA"/>
        </w:rPr>
        <w:t>, встановлені</w:t>
      </w:r>
      <w:r w:rsidR="00B829D2" w:rsidRPr="008F25EC">
        <w:rPr>
          <w:rFonts w:ascii="Times New Roman" w:hAnsi="Times New Roman" w:cs="Times New Roman"/>
          <w:color w:val="000000"/>
          <w:sz w:val="28"/>
          <w:szCs w:val="28"/>
          <w:shd w:val="clear" w:color="auto" w:fill="FFFFFF"/>
          <w:lang w:val="uk-UA"/>
        </w:rPr>
        <w:t>:</w:t>
      </w:r>
    </w:p>
    <w:p w14:paraId="1F941FB3" w14:textId="33980107" w:rsidR="00E97D08" w:rsidRPr="008F25EC" w:rsidRDefault="00FF3D1E"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Угодою </w:t>
      </w:r>
      <w:r w:rsidR="00B829D2" w:rsidRPr="008F25EC">
        <w:rPr>
          <w:rFonts w:ascii="Times New Roman" w:hAnsi="Times New Roman" w:cs="Times New Roman"/>
          <w:color w:val="000000"/>
          <w:sz w:val="28"/>
          <w:szCs w:val="28"/>
          <w:shd w:val="clear" w:color="auto" w:fill="FFFFFF"/>
          <w:lang w:val="uk-UA"/>
        </w:rPr>
        <w:t>між Україною та Міжнародним агентством з атомної енергії про застосування гарантій</w:t>
      </w:r>
      <w:r w:rsidRPr="008F25EC">
        <w:rPr>
          <w:rFonts w:ascii="Times New Roman" w:hAnsi="Times New Roman" w:cs="Times New Roman"/>
          <w:color w:val="000000"/>
          <w:sz w:val="28"/>
          <w:szCs w:val="28"/>
          <w:shd w:val="clear" w:color="auto" w:fill="FFFFFF"/>
          <w:lang w:val="uk-UA"/>
        </w:rPr>
        <w:t xml:space="preserve"> </w:t>
      </w:r>
      <w:r w:rsidR="00B829D2" w:rsidRPr="008F25EC">
        <w:rPr>
          <w:rFonts w:ascii="Times New Roman" w:hAnsi="Times New Roman" w:cs="Times New Roman"/>
          <w:color w:val="000000"/>
          <w:sz w:val="28"/>
          <w:szCs w:val="28"/>
          <w:shd w:val="clear" w:color="auto" w:fill="FFFFFF"/>
          <w:lang w:val="uk-UA"/>
        </w:rPr>
        <w:t>у зв'язку з Договором про нерозповсюдження ядерної зброї</w:t>
      </w:r>
      <w:r w:rsidRPr="008F25EC">
        <w:rPr>
          <w:rFonts w:ascii="Times New Roman" w:hAnsi="Times New Roman" w:cs="Times New Roman"/>
          <w:color w:val="000000"/>
          <w:sz w:val="28"/>
          <w:szCs w:val="28"/>
          <w:shd w:val="clear" w:color="auto" w:fill="FFFFFF"/>
          <w:lang w:val="uk-UA"/>
        </w:rPr>
        <w:t>;</w:t>
      </w:r>
    </w:p>
    <w:p w14:paraId="1090DABD" w14:textId="40539906" w:rsidR="00E97D08" w:rsidRDefault="005166B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Додатками </w:t>
      </w:r>
      <w:r w:rsidR="00426381" w:rsidRPr="008F25EC">
        <w:rPr>
          <w:rFonts w:ascii="Times New Roman" w:hAnsi="Times New Roman" w:cs="Times New Roman"/>
          <w:color w:val="000000"/>
          <w:sz w:val="28"/>
          <w:szCs w:val="28"/>
          <w:shd w:val="clear" w:color="auto" w:fill="FFFFFF"/>
          <w:lang w:val="uk-UA"/>
        </w:rPr>
        <w:t>до Конвенції про міжнародну цивільну авіацію.</w:t>
      </w:r>
    </w:p>
    <w:p w14:paraId="62225B63" w14:textId="77777777" w:rsidR="00BD3B15" w:rsidRPr="008F25EC" w:rsidRDefault="00BD3B15" w:rsidP="00BD3B15">
      <w:pPr>
        <w:tabs>
          <w:tab w:val="left" w:pos="1134"/>
        </w:tabs>
        <w:spacing w:before="60" w:after="60" w:line="240" w:lineRule="auto"/>
        <w:jc w:val="both"/>
        <w:rPr>
          <w:rFonts w:ascii="Times New Roman" w:hAnsi="Times New Roman" w:cs="Times New Roman"/>
          <w:color w:val="000000"/>
          <w:sz w:val="28"/>
          <w:szCs w:val="28"/>
          <w:shd w:val="clear" w:color="auto" w:fill="FFFFFF"/>
          <w:lang w:val="uk-UA"/>
        </w:rPr>
      </w:pPr>
    </w:p>
    <w:p w14:paraId="20244DCB" w14:textId="1D20C512" w:rsidR="00E97D08" w:rsidRPr="00BD3B15" w:rsidRDefault="005F5808" w:rsidP="00BD3B15">
      <w:pPr>
        <w:pStyle w:val="a3"/>
        <w:numPr>
          <w:ilvl w:val="0"/>
          <w:numId w:val="8"/>
        </w:numPr>
        <w:tabs>
          <w:tab w:val="left" w:pos="851"/>
        </w:tabs>
        <w:spacing w:before="60" w:after="60" w:line="240" w:lineRule="auto"/>
        <w:jc w:val="center"/>
        <w:rPr>
          <w:rFonts w:ascii="Times New Roman" w:hAnsi="Times New Roman" w:cs="Times New Roman"/>
          <w:b/>
          <w:sz w:val="28"/>
          <w:szCs w:val="28"/>
          <w:lang w:val="uk-UA"/>
        </w:rPr>
      </w:pPr>
      <w:r w:rsidRPr="00BD3B15">
        <w:rPr>
          <w:rFonts w:ascii="Times New Roman" w:hAnsi="Times New Roman" w:cs="Times New Roman"/>
          <w:b/>
          <w:sz w:val="28"/>
          <w:szCs w:val="28"/>
          <w:lang w:val="uk-UA"/>
        </w:rPr>
        <w:t>Зміна присвоєного ступеня ризику</w:t>
      </w:r>
      <w:r w:rsidR="00DD622D" w:rsidRPr="00BD3B15">
        <w:rPr>
          <w:rFonts w:ascii="Times New Roman" w:hAnsi="Times New Roman" w:cs="Times New Roman"/>
          <w:b/>
          <w:sz w:val="28"/>
          <w:szCs w:val="28"/>
          <w:lang w:val="uk-UA"/>
        </w:rPr>
        <w:t xml:space="preserve"> або періодичності планових заходів державного нагляду (контролю)</w:t>
      </w:r>
    </w:p>
    <w:p w14:paraId="2BC92303" w14:textId="469E677A" w:rsidR="00E97D08" w:rsidRPr="008F25EC" w:rsidRDefault="003F57E8"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Будь-який суб’єкт</w:t>
      </w:r>
      <w:r w:rsidR="00F23D4A" w:rsidRPr="008F25EC">
        <w:rPr>
          <w:rFonts w:ascii="Times New Roman" w:hAnsi="Times New Roman" w:cs="Times New Roman"/>
          <w:color w:val="000000"/>
          <w:sz w:val="28"/>
          <w:szCs w:val="28"/>
          <w:shd w:val="clear" w:color="auto" w:fill="FFFFFF"/>
          <w:lang w:val="uk-UA"/>
        </w:rPr>
        <w:t xml:space="preserve"> господарюванн</w:t>
      </w:r>
      <w:r w:rsidRPr="008F25EC">
        <w:rPr>
          <w:rFonts w:ascii="Times New Roman" w:hAnsi="Times New Roman" w:cs="Times New Roman"/>
          <w:color w:val="000000"/>
          <w:sz w:val="28"/>
          <w:szCs w:val="28"/>
          <w:shd w:val="clear" w:color="auto" w:fill="FFFFFF"/>
          <w:lang w:val="uk-UA"/>
        </w:rPr>
        <w:t>я, що підляга</w:t>
      </w:r>
      <w:r w:rsidR="00DF338D" w:rsidRPr="008F25EC">
        <w:rPr>
          <w:rFonts w:ascii="Times New Roman" w:hAnsi="Times New Roman" w:cs="Times New Roman"/>
          <w:color w:val="000000"/>
          <w:sz w:val="28"/>
          <w:szCs w:val="28"/>
          <w:shd w:val="clear" w:color="auto" w:fill="FFFFFF"/>
          <w:lang w:val="uk-UA"/>
        </w:rPr>
        <w:t>є</w:t>
      </w:r>
      <w:r w:rsidRPr="008F25EC">
        <w:rPr>
          <w:rFonts w:ascii="Times New Roman" w:hAnsi="Times New Roman" w:cs="Times New Roman"/>
          <w:color w:val="000000"/>
          <w:sz w:val="28"/>
          <w:szCs w:val="28"/>
          <w:shd w:val="clear" w:color="auto" w:fill="FFFFFF"/>
          <w:lang w:val="uk-UA"/>
        </w:rPr>
        <w:t xml:space="preserve"> нагляду (контролю),</w:t>
      </w:r>
      <w:r w:rsidR="00DF338D" w:rsidRPr="008F25EC">
        <w:rPr>
          <w:rFonts w:ascii="Times New Roman" w:hAnsi="Times New Roman" w:cs="Times New Roman"/>
          <w:color w:val="000000"/>
          <w:sz w:val="28"/>
          <w:szCs w:val="28"/>
          <w:shd w:val="clear" w:color="auto" w:fill="FFFFFF"/>
          <w:lang w:val="uk-UA"/>
        </w:rPr>
        <w:t xml:space="preserve"> має</w:t>
      </w:r>
      <w:r w:rsidRPr="008F25EC">
        <w:rPr>
          <w:rFonts w:ascii="Times New Roman" w:hAnsi="Times New Roman" w:cs="Times New Roman"/>
          <w:color w:val="000000"/>
          <w:sz w:val="28"/>
          <w:szCs w:val="28"/>
          <w:shd w:val="clear" w:color="auto" w:fill="FFFFFF"/>
          <w:lang w:val="uk-UA"/>
        </w:rPr>
        <w:t xml:space="preserve"> право звернутися до органу державного нагляду (контролю) із заявою щодо зміни присвоєного йому </w:t>
      </w:r>
      <w:r w:rsidR="00CA1A07" w:rsidRPr="008F25EC">
        <w:rPr>
          <w:rFonts w:ascii="Times New Roman" w:hAnsi="Times New Roman" w:cs="Times New Roman"/>
          <w:color w:val="000000"/>
          <w:sz w:val="28"/>
          <w:szCs w:val="28"/>
          <w:shd w:val="clear" w:color="auto" w:fill="FFFFFF"/>
          <w:lang w:val="uk-UA"/>
        </w:rPr>
        <w:t>ступеню</w:t>
      </w:r>
      <w:r w:rsidR="00DF338D" w:rsidRPr="008F25EC">
        <w:rPr>
          <w:rFonts w:ascii="Times New Roman" w:hAnsi="Times New Roman" w:cs="Times New Roman"/>
          <w:color w:val="000000"/>
          <w:sz w:val="28"/>
          <w:szCs w:val="28"/>
          <w:shd w:val="clear" w:color="auto" w:fill="FFFFFF"/>
          <w:lang w:val="uk-UA"/>
        </w:rPr>
        <w:t xml:space="preserve"> ризику за відповідним напрямом нагляду (контролю)</w:t>
      </w:r>
      <w:r w:rsidR="00DD622D" w:rsidRPr="008F25EC">
        <w:rPr>
          <w:rFonts w:ascii="Times New Roman" w:hAnsi="Times New Roman" w:cs="Times New Roman"/>
          <w:color w:val="000000"/>
          <w:sz w:val="28"/>
          <w:szCs w:val="28"/>
          <w:shd w:val="clear" w:color="auto" w:fill="FFFFFF"/>
          <w:lang w:val="uk-UA"/>
        </w:rPr>
        <w:t xml:space="preserve"> або </w:t>
      </w:r>
      <w:r w:rsidR="00922E9A" w:rsidRPr="008F25EC">
        <w:rPr>
          <w:rFonts w:ascii="Times New Roman" w:hAnsi="Times New Roman" w:cs="Times New Roman"/>
          <w:color w:val="000000"/>
          <w:sz w:val="28"/>
          <w:szCs w:val="28"/>
          <w:shd w:val="clear" w:color="auto" w:fill="FFFFFF"/>
          <w:lang w:val="uk-UA"/>
        </w:rPr>
        <w:t xml:space="preserve">щодо встановлення для нього </w:t>
      </w:r>
      <w:r w:rsidR="009756C9" w:rsidRPr="008F25EC">
        <w:rPr>
          <w:rFonts w:ascii="Times New Roman" w:hAnsi="Times New Roman" w:cs="Times New Roman"/>
          <w:color w:val="000000"/>
          <w:sz w:val="28"/>
          <w:szCs w:val="28"/>
          <w:shd w:val="clear" w:color="auto" w:fill="FFFFFF"/>
          <w:lang w:val="uk-UA"/>
        </w:rPr>
        <w:t xml:space="preserve">менш частої періодичності проведення планових заходів державного нагляду (контролю) згідно пункту </w:t>
      </w:r>
      <w:r w:rsidR="009756C9" w:rsidRPr="008F25EC">
        <w:rPr>
          <w:rFonts w:ascii="Times New Roman" w:hAnsi="Times New Roman" w:cs="Times New Roman"/>
          <w:color w:val="000000"/>
          <w:sz w:val="28"/>
          <w:szCs w:val="28"/>
          <w:shd w:val="clear" w:color="auto" w:fill="FFFFFF"/>
          <w:lang w:val="uk-UA"/>
        </w:rPr>
        <w:fldChar w:fldCharType="begin"/>
      </w:r>
      <w:r w:rsidR="009756C9" w:rsidRPr="008F25EC">
        <w:rPr>
          <w:rFonts w:ascii="Times New Roman" w:hAnsi="Times New Roman" w:cs="Times New Roman"/>
          <w:color w:val="000000"/>
          <w:sz w:val="28"/>
          <w:szCs w:val="28"/>
          <w:shd w:val="clear" w:color="auto" w:fill="FFFFFF"/>
          <w:lang w:val="uk-UA"/>
        </w:rPr>
        <w:instrText xml:space="preserve"> REF _Ref476062349 \r \h </w:instrText>
      </w:r>
      <w:r w:rsidR="004F306F" w:rsidRPr="008F25EC">
        <w:rPr>
          <w:rFonts w:ascii="Times New Roman" w:hAnsi="Times New Roman" w:cs="Times New Roman"/>
          <w:color w:val="000000"/>
          <w:sz w:val="28"/>
          <w:szCs w:val="28"/>
          <w:shd w:val="clear" w:color="auto" w:fill="FFFFFF"/>
          <w:lang w:val="uk-UA"/>
        </w:rPr>
        <w:instrText xml:space="preserve"> \* MERGEFORMAT </w:instrText>
      </w:r>
      <w:r w:rsidR="009756C9" w:rsidRPr="008F25EC">
        <w:rPr>
          <w:rFonts w:ascii="Times New Roman" w:hAnsi="Times New Roman" w:cs="Times New Roman"/>
          <w:color w:val="000000"/>
          <w:sz w:val="28"/>
          <w:szCs w:val="28"/>
          <w:shd w:val="clear" w:color="auto" w:fill="FFFFFF"/>
          <w:lang w:val="uk-UA"/>
        </w:rPr>
      </w:r>
      <w:r w:rsidR="009756C9" w:rsidRPr="008F25EC">
        <w:rPr>
          <w:rFonts w:ascii="Times New Roman" w:hAnsi="Times New Roman" w:cs="Times New Roman"/>
          <w:color w:val="000000"/>
          <w:sz w:val="28"/>
          <w:szCs w:val="28"/>
          <w:shd w:val="clear" w:color="auto" w:fill="FFFFFF"/>
          <w:lang w:val="uk-UA"/>
        </w:rPr>
        <w:fldChar w:fldCharType="separate"/>
      </w:r>
      <w:r w:rsidR="00492F81" w:rsidRPr="008F25EC">
        <w:rPr>
          <w:rFonts w:ascii="Times New Roman" w:hAnsi="Times New Roman" w:cs="Times New Roman"/>
          <w:color w:val="000000"/>
          <w:sz w:val="28"/>
          <w:szCs w:val="28"/>
          <w:shd w:val="clear" w:color="auto" w:fill="FFFFFF"/>
          <w:lang w:val="uk-UA"/>
        </w:rPr>
        <w:t>47</w:t>
      </w:r>
      <w:r w:rsidR="009756C9" w:rsidRPr="008F25EC">
        <w:rPr>
          <w:rFonts w:ascii="Times New Roman" w:hAnsi="Times New Roman" w:cs="Times New Roman"/>
          <w:color w:val="000000"/>
          <w:sz w:val="28"/>
          <w:szCs w:val="28"/>
          <w:shd w:val="clear" w:color="auto" w:fill="FFFFFF"/>
          <w:lang w:val="uk-UA"/>
        </w:rPr>
        <w:fldChar w:fldCharType="end"/>
      </w:r>
      <w:r w:rsidR="009756C9" w:rsidRPr="008F25EC">
        <w:rPr>
          <w:rFonts w:ascii="Times New Roman" w:hAnsi="Times New Roman" w:cs="Times New Roman"/>
          <w:color w:val="000000"/>
          <w:sz w:val="28"/>
          <w:szCs w:val="28"/>
          <w:shd w:val="clear" w:color="auto" w:fill="FFFFFF"/>
          <w:lang w:val="uk-UA"/>
        </w:rPr>
        <w:t xml:space="preserve"> цієї Методики</w:t>
      </w:r>
      <w:r w:rsidR="00DF338D" w:rsidRPr="008F25EC">
        <w:rPr>
          <w:rFonts w:ascii="Times New Roman" w:hAnsi="Times New Roman" w:cs="Times New Roman"/>
          <w:color w:val="000000"/>
          <w:sz w:val="28"/>
          <w:szCs w:val="28"/>
          <w:shd w:val="clear" w:color="auto" w:fill="FFFFFF"/>
          <w:lang w:val="uk-UA"/>
        </w:rPr>
        <w:t>.</w:t>
      </w:r>
    </w:p>
    <w:p w14:paraId="5E5101C1" w14:textId="4F236EBC" w:rsidR="00E97D08" w:rsidRPr="008F25EC" w:rsidRDefault="00AD3222"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Заява повинна містити </w:t>
      </w:r>
      <w:r w:rsidR="00DF338D" w:rsidRPr="008F25EC">
        <w:rPr>
          <w:rFonts w:ascii="Times New Roman" w:hAnsi="Times New Roman" w:cs="Times New Roman"/>
          <w:color w:val="000000"/>
          <w:sz w:val="28"/>
          <w:szCs w:val="28"/>
          <w:shd w:val="clear" w:color="auto" w:fill="FFFFFF"/>
          <w:lang w:val="uk-UA"/>
        </w:rPr>
        <w:t xml:space="preserve">такі </w:t>
      </w:r>
      <w:r w:rsidR="009F76E0" w:rsidRPr="008F25EC">
        <w:rPr>
          <w:rFonts w:ascii="Times New Roman" w:hAnsi="Times New Roman" w:cs="Times New Roman"/>
          <w:color w:val="000000"/>
          <w:sz w:val="28"/>
          <w:szCs w:val="28"/>
          <w:shd w:val="clear" w:color="auto" w:fill="FFFFFF"/>
          <w:lang w:val="uk-UA"/>
        </w:rPr>
        <w:t>відомості:</w:t>
      </w:r>
    </w:p>
    <w:p w14:paraId="64BD36E2" w14:textId="6C2F8488" w:rsidR="00E97D08" w:rsidRPr="008F25EC" w:rsidRDefault="009F76E0"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повне найменування</w:t>
      </w:r>
      <w:r w:rsidR="004D1F21" w:rsidRPr="008F25EC">
        <w:rPr>
          <w:rFonts w:ascii="Times New Roman" w:hAnsi="Times New Roman" w:cs="Times New Roman"/>
          <w:color w:val="000000"/>
          <w:sz w:val="28"/>
          <w:szCs w:val="28"/>
          <w:shd w:val="clear" w:color="auto" w:fill="FFFFFF"/>
          <w:lang w:val="uk-UA"/>
        </w:rPr>
        <w:t xml:space="preserve"> юридичної особи </w:t>
      </w:r>
      <w:r w:rsidRPr="008F25EC">
        <w:rPr>
          <w:rFonts w:ascii="Times New Roman" w:hAnsi="Times New Roman" w:cs="Times New Roman"/>
          <w:color w:val="000000"/>
          <w:sz w:val="28"/>
          <w:szCs w:val="28"/>
          <w:shd w:val="clear" w:color="auto" w:fill="FFFFFF"/>
          <w:lang w:val="uk-UA"/>
        </w:rPr>
        <w:t>(прізвище, ім’я, по батькові</w:t>
      </w:r>
      <w:r w:rsidR="00354D35" w:rsidRPr="008F25EC">
        <w:rPr>
          <w:rFonts w:ascii="Times New Roman" w:hAnsi="Times New Roman" w:cs="Times New Roman"/>
          <w:color w:val="000000"/>
          <w:sz w:val="28"/>
          <w:szCs w:val="28"/>
          <w:shd w:val="clear" w:color="auto" w:fill="FFFFFF"/>
          <w:lang w:val="uk-UA"/>
        </w:rPr>
        <w:t xml:space="preserve"> – для фізичної особи-підприємця);</w:t>
      </w:r>
    </w:p>
    <w:p w14:paraId="49EF59E9" w14:textId="6B05C3A8" w:rsidR="00E97D08" w:rsidRPr="008F25EC" w:rsidRDefault="003767D7"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ідентифікаційний код суб'єкта Єдиного державного реєстру підприємств і організацій (</w:t>
      </w:r>
      <w:r w:rsidR="009B3F92" w:rsidRPr="008F25EC">
        <w:rPr>
          <w:rFonts w:ascii="Times New Roman" w:hAnsi="Times New Roman" w:cs="Times New Roman"/>
          <w:color w:val="000000"/>
          <w:sz w:val="28"/>
          <w:szCs w:val="28"/>
          <w:shd w:val="clear" w:color="auto" w:fill="FFFFFF"/>
          <w:lang w:val="uk-UA"/>
        </w:rPr>
        <w:t xml:space="preserve">код </w:t>
      </w:r>
      <w:r w:rsidRPr="008F25EC">
        <w:rPr>
          <w:rFonts w:ascii="Times New Roman" w:hAnsi="Times New Roman" w:cs="Times New Roman"/>
          <w:color w:val="000000"/>
          <w:sz w:val="28"/>
          <w:szCs w:val="28"/>
          <w:shd w:val="clear" w:color="auto" w:fill="FFFFFF"/>
          <w:lang w:val="uk-UA"/>
        </w:rPr>
        <w:t>ЄДРПОУ)</w:t>
      </w:r>
      <w:r w:rsidR="009B3F92" w:rsidRPr="008F25EC">
        <w:rPr>
          <w:rFonts w:ascii="Times New Roman" w:hAnsi="Times New Roman" w:cs="Times New Roman"/>
          <w:color w:val="000000"/>
          <w:sz w:val="28"/>
          <w:szCs w:val="28"/>
          <w:shd w:val="clear" w:color="auto" w:fill="FFFFFF"/>
          <w:lang w:val="uk-UA"/>
        </w:rPr>
        <w:t>;</w:t>
      </w:r>
    </w:p>
    <w:p w14:paraId="7E59295D" w14:textId="66DD5207" w:rsidR="00E97D08" w:rsidRPr="008F25EC" w:rsidRDefault="00B9346A"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місцезнаходження суб’єкта господарювання;</w:t>
      </w:r>
    </w:p>
    <w:p w14:paraId="3D94E04D" w14:textId="57C383F4" w:rsidR="00E97D08" w:rsidRPr="008F25EC" w:rsidRDefault="00364649"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інформація про присвоєний суб’єкту </w:t>
      </w:r>
      <w:r w:rsidR="00967070" w:rsidRPr="008F25EC">
        <w:rPr>
          <w:rFonts w:ascii="Times New Roman" w:hAnsi="Times New Roman" w:cs="Times New Roman"/>
          <w:color w:val="000000"/>
          <w:sz w:val="28"/>
          <w:szCs w:val="28"/>
          <w:shd w:val="clear" w:color="auto" w:fill="FFFFFF"/>
          <w:lang w:val="uk-UA"/>
        </w:rPr>
        <w:t xml:space="preserve">господарювання </w:t>
      </w:r>
      <w:r w:rsidR="001139C6" w:rsidRPr="008F25EC">
        <w:rPr>
          <w:rFonts w:ascii="Times New Roman" w:hAnsi="Times New Roman" w:cs="Times New Roman"/>
          <w:color w:val="000000"/>
          <w:sz w:val="28"/>
          <w:szCs w:val="28"/>
          <w:shd w:val="clear" w:color="auto" w:fill="FFFFFF"/>
          <w:lang w:val="uk-UA"/>
        </w:rPr>
        <w:t>ступінь ризику</w:t>
      </w:r>
      <w:r w:rsidR="00922E9A" w:rsidRPr="008F25EC">
        <w:rPr>
          <w:rFonts w:ascii="Times New Roman" w:hAnsi="Times New Roman" w:cs="Times New Roman"/>
          <w:color w:val="000000"/>
          <w:sz w:val="28"/>
          <w:szCs w:val="28"/>
          <w:shd w:val="clear" w:color="auto" w:fill="FFFFFF"/>
          <w:lang w:val="uk-UA"/>
        </w:rPr>
        <w:t xml:space="preserve"> (у разі звернення щодо зміни ступеню ризику)</w:t>
      </w:r>
      <w:r w:rsidR="00201A4E" w:rsidRPr="008F25EC">
        <w:rPr>
          <w:rFonts w:ascii="Times New Roman" w:hAnsi="Times New Roman" w:cs="Times New Roman"/>
          <w:color w:val="000000"/>
          <w:sz w:val="28"/>
          <w:szCs w:val="28"/>
          <w:shd w:val="clear" w:color="auto" w:fill="FFFFFF"/>
          <w:lang w:val="uk-UA"/>
        </w:rPr>
        <w:t>;</w:t>
      </w:r>
    </w:p>
    <w:p w14:paraId="136DCC35" w14:textId="4E978266" w:rsidR="00E97D08" w:rsidRPr="008F25EC" w:rsidRDefault="00922E9A"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інформація щодо </w:t>
      </w:r>
      <w:r w:rsidR="009D0774" w:rsidRPr="008F25EC">
        <w:rPr>
          <w:rFonts w:ascii="Times New Roman" w:hAnsi="Times New Roman" w:cs="Times New Roman"/>
          <w:color w:val="000000"/>
          <w:sz w:val="28"/>
          <w:szCs w:val="28"/>
          <w:shd w:val="clear" w:color="auto" w:fill="FFFFFF"/>
          <w:lang w:val="uk-UA"/>
        </w:rPr>
        <w:t xml:space="preserve">встановленої для суб’єкта господарювання періодичності проведення планових заходів державного нагляду (контролю) (у разі звернення щодо </w:t>
      </w:r>
      <w:r w:rsidR="00510CC0" w:rsidRPr="008F25EC">
        <w:rPr>
          <w:rFonts w:ascii="Times New Roman" w:hAnsi="Times New Roman" w:cs="Times New Roman"/>
          <w:color w:val="000000"/>
          <w:sz w:val="28"/>
          <w:szCs w:val="28"/>
          <w:shd w:val="clear" w:color="auto" w:fill="FFFFFF"/>
          <w:lang w:val="uk-UA"/>
        </w:rPr>
        <w:t>менш частої періодичності проведення планових заходів державного нагляду (контролю</w:t>
      </w:r>
      <w:r w:rsidR="009D0774" w:rsidRPr="008F25EC">
        <w:rPr>
          <w:rFonts w:ascii="Times New Roman" w:hAnsi="Times New Roman" w:cs="Times New Roman"/>
          <w:color w:val="000000"/>
          <w:sz w:val="28"/>
          <w:szCs w:val="28"/>
          <w:shd w:val="clear" w:color="auto" w:fill="FFFFFF"/>
          <w:lang w:val="uk-UA"/>
        </w:rPr>
        <w:t>)</w:t>
      </w:r>
      <w:r w:rsidR="00510CC0" w:rsidRPr="008F25EC">
        <w:rPr>
          <w:rFonts w:ascii="Times New Roman" w:hAnsi="Times New Roman" w:cs="Times New Roman"/>
          <w:color w:val="000000"/>
          <w:sz w:val="28"/>
          <w:szCs w:val="28"/>
          <w:shd w:val="clear" w:color="auto" w:fill="FFFFFF"/>
          <w:lang w:val="uk-UA"/>
        </w:rPr>
        <w:t>;</w:t>
      </w:r>
    </w:p>
    <w:p w14:paraId="763FC5BF" w14:textId="30683A19" w:rsidR="00E97D08" w:rsidRPr="008F25EC" w:rsidRDefault="00284E35"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lastRenderedPageBreak/>
        <w:t>поштова адреса або адреса електронної пошти суб’єкта господарювання, а також номер засобу зв'язку, якщо такий є;</w:t>
      </w:r>
    </w:p>
    <w:p w14:paraId="07922EF2" w14:textId="214C72F6" w:rsidR="00E97D08" w:rsidRPr="008F25EC" w:rsidRDefault="00C169B0"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Д</w:t>
      </w:r>
      <w:r w:rsidR="005F5808" w:rsidRPr="008F25EC">
        <w:rPr>
          <w:rFonts w:ascii="Times New Roman" w:hAnsi="Times New Roman" w:cs="Times New Roman"/>
          <w:color w:val="000000"/>
          <w:sz w:val="28"/>
          <w:szCs w:val="28"/>
          <w:shd w:val="clear" w:color="auto" w:fill="FFFFFF"/>
          <w:lang w:val="uk-UA"/>
        </w:rPr>
        <w:t>о заяви додаються документи</w:t>
      </w:r>
      <w:r w:rsidR="0015153C" w:rsidRPr="008F25EC">
        <w:rPr>
          <w:rFonts w:ascii="Times New Roman" w:hAnsi="Times New Roman" w:cs="Times New Roman"/>
          <w:color w:val="000000"/>
          <w:sz w:val="28"/>
          <w:szCs w:val="28"/>
          <w:shd w:val="clear" w:color="auto" w:fill="FFFFFF"/>
          <w:lang w:val="uk-UA"/>
        </w:rPr>
        <w:t xml:space="preserve">, що </w:t>
      </w:r>
      <w:r w:rsidR="00AD66F6" w:rsidRPr="008F25EC">
        <w:rPr>
          <w:rFonts w:ascii="Times New Roman" w:hAnsi="Times New Roman" w:cs="Times New Roman"/>
          <w:color w:val="000000"/>
          <w:sz w:val="28"/>
          <w:szCs w:val="28"/>
          <w:shd w:val="clear" w:color="auto" w:fill="FFFFFF"/>
          <w:lang w:val="uk-UA"/>
        </w:rPr>
        <w:t>підтверджують відповідність</w:t>
      </w:r>
      <w:r w:rsidR="005F5808" w:rsidRPr="008F25EC">
        <w:rPr>
          <w:rFonts w:ascii="Times New Roman" w:hAnsi="Times New Roman" w:cs="Times New Roman"/>
          <w:color w:val="000000"/>
          <w:sz w:val="28"/>
          <w:szCs w:val="28"/>
          <w:shd w:val="clear" w:color="auto" w:fill="FFFFFF"/>
          <w:lang w:val="uk-UA"/>
        </w:rPr>
        <w:t xml:space="preserve"> діяльності суб’єкта господарювання критеріям, </w:t>
      </w:r>
      <w:r w:rsidR="007901AF" w:rsidRPr="008F25EC">
        <w:rPr>
          <w:rFonts w:ascii="Times New Roman" w:hAnsi="Times New Roman" w:cs="Times New Roman"/>
          <w:color w:val="000000"/>
          <w:sz w:val="28"/>
          <w:szCs w:val="28"/>
          <w:shd w:val="clear" w:color="auto" w:fill="FFFFFF"/>
          <w:lang w:val="uk-UA"/>
        </w:rPr>
        <w:t>що пер</w:t>
      </w:r>
      <w:r w:rsidR="009756C9" w:rsidRPr="008F25EC">
        <w:rPr>
          <w:rFonts w:ascii="Times New Roman" w:hAnsi="Times New Roman" w:cs="Times New Roman"/>
          <w:color w:val="000000"/>
          <w:sz w:val="28"/>
          <w:szCs w:val="28"/>
          <w:shd w:val="clear" w:color="auto" w:fill="FFFFFF"/>
          <w:lang w:val="uk-UA"/>
        </w:rPr>
        <w:t xml:space="preserve">едбачають нижчий ступінь ризику, або </w:t>
      </w:r>
      <w:r w:rsidR="00510CC0" w:rsidRPr="008F25EC">
        <w:rPr>
          <w:rFonts w:ascii="Times New Roman" w:hAnsi="Times New Roman" w:cs="Times New Roman"/>
          <w:color w:val="000000"/>
          <w:sz w:val="28"/>
          <w:szCs w:val="28"/>
          <w:shd w:val="clear" w:color="auto" w:fill="FFFFFF"/>
          <w:lang w:val="uk-UA"/>
        </w:rPr>
        <w:t xml:space="preserve">що </w:t>
      </w:r>
      <w:r w:rsidR="00714C73" w:rsidRPr="008F25EC">
        <w:rPr>
          <w:rFonts w:ascii="Times New Roman" w:hAnsi="Times New Roman" w:cs="Times New Roman"/>
          <w:color w:val="000000"/>
          <w:sz w:val="28"/>
          <w:szCs w:val="28"/>
          <w:shd w:val="clear" w:color="auto" w:fill="FFFFFF"/>
          <w:lang w:val="uk-UA"/>
        </w:rPr>
        <w:t>демонструють стабільну практику дотримання законодавства суб’єктом господарювання.</w:t>
      </w:r>
      <w:bookmarkStart w:id="19" w:name="_Ref476061425"/>
    </w:p>
    <w:p w14:paraId="66DDCC2B" w14:textId="69845594" w:rsidR="00E97D08" w:rsidRPr="008F25EC" w:rsidRDefault="00AD66F6"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Орган державного нагляду (контролю) розглядає заяву, оцінює надані суб’єктом господарювання документи, а</w:t>
      </w:r>
      <w:r w:rsidR="00E03A68" w:rsidRPr="008F25EC">
        <w:rPr>
          <w:rFonts w:ascii="Times New Roman" w:hAnsi="Times New Roman" w:cs="Times New Roman"/>
          <w:color w:val="000000"/>
          <w:sz w:val="28"/>
          <w:szCs w:val="28"/>
          <w:shd w:val="clear" w:color="auto" w:fill="FFFFFF"/>
          <w:lang w:val="uk-UA"/>
        </w:rPr>
        <w:t xml:space="preserve"> також відомості про </w:t>
      </w:r>
      <w:r w:rsidR="003D0091" w:rsidRPr="008F25EC">
        <w:rPr>
          <w:rFonts w:ascii="Times New Roman" w:hAnsi="Times New Roman" w:cs="Times New Roman"/>
          <w:color w:val="000000"/>
          <w:sz w:val="28"/>
          <w:szCs w:val="28"/>
          <w:shd w:val="clear" w:color="auto" w:fill="FFFFFF"/>
          <w:lang w:val="uk-UA"/>
        </w:rPr>
        <w:t>суб’єкта господарювання, що знаходяться в розпорядженні органу державного нагляду (контролю)</w:t>
      </w:r>
      <w:r w:rsidR="007C2609" w:rsidRPr="008F25EC">
        <w:rPr>
          <w:rFonts w:ascii="Times New Roman" w:hAnsi="Times New Roman" w:cs="Times New Roman"/>
          <w:color w:val="000000"/>
          <w:sz w:val="28"/>
          <w:szCs w:val="28"/>
          <w:shd w:val="clear" w:color="auto" w:fill="FFFFFF"/>
          <w:lang w:val="uk-UA"/>
        </w:rPr>
        <w:t>, зокрема доступні через інтегровану автоматизовану систему державну нагляду, і за результатами її розгляду, що не перевищує 15 робочих днів з дня отримання такого повідомлення, приймає одне з таких рішень:</w:t>
      </w:r>
      <w:bookmarkEnd w:id="19"/>
    </w:p>
    <w:p w14:paraId="65EE8042" w14:textId="214A2B94" w:rsidR="00E97D08" w:rsidRPr="008F25EC" w:rsidRDefault="007C2609" w:rsidP="008F25EC">
      <w:pPr>
        <w:tabs>
          <w:tab w:val="left" w:pos="993"/>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а) </w:t>
      </w:r>
      <w:r w:rsidR="00D268DC" w:rsidRPr="008F25EC">
        <w:rPr>
          <w:rFonts w:ascii="Times New Roman" w:hAnsi="Times New Roman" w:cs="Times New Roman"/>
          <w:color w:val="000000"/>
          <w:sz w:val="28"/>
          <w:szCs w:val="28"/>
          <w:shd w:val="clear" w:color="auto" w:fill="FFFFFF"/>
          <w:lang w:val="uk-UA"/>
        </w:rPr>
        <w:t>задовольняє заяву і змінює</w:t>
      </w:r>
      <w:r w:rsidRPr="008F25EC">
        <w:rPr>
          <w:rFonts w:ascii="Times New Roman" w:hAnsi="Times New Roman" w:cs="Times New Roman"/>
          <w:color w:val="000000"/>
          <w:sz w:val="28"/>
          <w:szCs w:val="28"/>
          <w:shd w:val="clear" w:color="auto" w:fill="FFFFFF"/>
          <w:lang w:val="uk-UA"/>
        </w:rPr>
        <w:t xml:space="preserve"> ступінь ризику суб’єкта господарювання</w:t>
      </w:r>
      <w:r w:rsidR="00510CC0" w:rsidRPr="008F25EC">
        <w:rPr>
          <w:rFonts w:ascii="Times New Roman" w:hAnsi="Times New Roman" w:cs="Times New Roman"/>
          <w:color w:val="000000"/>
          <w:sz w:val="28"/>
          <w:szCs w:val="28"/>
          <w:shd w:val="clear" w:color="auto" w:fill="FFFFFF"/>
          <w:lang w:val="uk-UA"/>
        </w:rPr>
        <w:t xml:space="preserve"> або встановлює менш часту періодичність </w:t>
      </w:r>
      <w:r w:rsidR="00714C73" w:rsidRPr="008F25EC">
        <w:rPr>
          <w:rFonts w:ascii="Times New Roman" w:hAnsi="Times New Roman" w:cs="Times New Roman"/>
          <w:color w:val="000000"/>
          <w:sz w:val="28"/>
          <w:szCs w:val="28"/>
          <w:shd w:val="clear" w:color="auto" w:fill="FFFFFF"/>
          <w:lang w:val="uk-UA"/>
        </w:rPr>
        <w:t>проведення планових заходів держаного нагляду (контролю)</w:t>
      </w:r>
      <w:r w:rsidRPr="008F25EC">
        <w:rPr>
          <w:rFonts w:ascii="Times New Roman" w:hAnsi="Times New Roman" w:cs="Times New Roman"/>
          <w:color w:val="000000"/>
          <w:sz w:val="28"/>
          <w:szCs w:val="28"/>
          <w:shd w:val="clear" w:color="auto" w:fill="FFFFFF"/>
          <w:lang w:val="uk-UA"/>
        </w:rPr>
        <w:t>;</w:t>
      </w:r>
    </w:p>
    <w:p w14:paraId="09BB60BC" w14:textId="1E2B3BCF" w:rsidR="00E97D08" w:rsidRPr="008F25EC" w:rsidRDefault="00D268DC" w:rsidP="008F25EC">
      <w:pPr>
        <w:tabs>
          <w:tab w:val="left" w:pos="993"/>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б) відмовляє в задоволенні заяви.</w:t>
      </w:r>
    </w:p>
    <w:p w14:paraId="747AD054" w14:textId="1AAD1D6C" w:rsidR="00E97D08" w:rsidRPr="008F25EC" w:rsidRDefault="00A069FD"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Орган державного нагляду (контролю) інформує </w:t>
      </w:r>
      <w:r w:rsidR="00277F9D" w:rsidRPr="008F25EC">
        <w:rPr>
          <w:rFonts w:ascii="Times New Roman" w:hAnsi="Times New Roman" w:cs="Times New Roman"/>
          <w:color w:val="000000"/>
          <w:sz w:val="28"/>
          <w:szCs w:val="28"/>
          <w:shd w:val="clear" w:color="auto" w:fill="FFFFFF"/>
          <w:lang w:val="uk-UA"/>
        </w:rPr>
        <w:t>суб’єкта господ</w:t>
      </w:r>
      <w:r w:rsidR="00737B11" w:rsidRPr="008F25EC">
        <w:rPr>
          <w:rFonts w:ascii="Times New Roman" w:hAnsi="Times New Roman" w:cs="Times New Roman"/>
          <w:color w:val="000000"/>
          <w:sz w:val="28"/>
          <w:szCs w:val="28"/>
          <w:shd w:val="clear" w:color="auto" w:fill="FFFFFF"/>
          <w:lang w:val="uk-UA"/>
        </w:rPr>
        <w:t xml:space="preserve">арювання про своє рішення протягом трьох робочих днів з дня </w:t>
      </w:r>
      <w:r w:rsidR="009D720A" w:rsidRPr="008F25EC">
        <w:rPr>
          <w:rFonts w:ascii="Times New Roman" w:hAnsi="Times New Roman" w:cs="Times New Roman"/>
          <w:color w:val="000000"/>
          <w:sz w:val="28"/>
          <w:szCs w:val="28"/>
          <w:shd w:val="clear" w:color="auto" w:fill="FFFFFF"/>
          <w:lang w:val="uk-UA"/>
        </w:rPr>
        <w:t xml:space="preserve">його </w:t>
      </w:r>
      <w:r w:rsidR="00737B11" w:rsidRPr="008F25EC">
        <w:rPr>
          <w:rFonts w:ascii="Times New Roman" w:hAnsi="Times New Roman" w:cs="Times New Roman"/>
          <w:color w:val="000000"/>
          <w:sz w:val="28"/>
          <w:szCs w:val="28"/>
          <w:shd w:val="clear" w:color="auto" w:fill="FFFFFF"/>
          <w:lang w:val="uk-UA"/>
        </w:rPr>
        <w:t>прийняття</w:t>
      </w:r>
      <w:r w:rsidR="009D720A" w:rsidRPr="008F25EC">
        <w:rPr>
          <w:rFonts w:ascii="Times New Roman" w:hAnsi="Times New Roman" w:cs="Times New Roman"/>
          <w:color w:val="000000"/>
          <w:sz w:val="28"/>
          <w:szCs w:val="28"/>
          <w:shd w:val="clear" w:color="auto" w:fill="FFFFFF"/>
          <w:lang w:val="uk-UA"/>
        </w:rPr>
        <w:t>, шляхом надсилання відповіді на поштову або електронну адресу</w:t>
      </w:r>
      <w:r w:rsidR="00E02CD3" w:rsidRPr="008F25EC">
        <w:rPr>
          <w:rFonts w:ascii="Times New Roman" w:hAnsi="Times New Roman" w:cs="Times New Roman"/>
          <w:color w:val="000000"/>
          <w:sz w:val="28"/>
          <w:szCs w:val="28"/>
          <w:shd w:val="clear" w:color="auto" w:fill="FFFFFF"/>
          <w:lang w:val="uk-UA"/>
        </w:rPr>
        <w:t xml:space="preserve"> суб’єкта господарювання</w:t>
      </w:r>
      <w:r w:rsidR="009D720A" w:rsidRPr="008F25EC">
        <w:rPr>
          <w:rFonts w:ascii="Times New Roman" w:hAnsi="Times New Roman" w:cs="Times New Roman"/>
          <w:color w:val="000000"/>
          <w:sz w:val="28"/>
          <w:szCs w:val="28"/>
          <w:shd w:val="clear" w:color="auto" w:fill="FFFFFF"/>
          <w:lang w:val="uk-UA"/>
        </w:rPr>
        <w:t>, зазначену в заяві</w:t>
      </w:r>
      <w:r w:rsidR="00E87826" w:rsidRPr="008F25EC">
        <w:rPr>
          <w:rFonts w:ascii="Times New Roman" w:hAnsi="Times New Roman" w:cs="Times New Roman"/>
          <w:color w:val="000000"/>
          <w:sz w:val="28"/>
          <w:szCs w:val="28"/>
          <w:shd w:val="clear" w:color="auto" w:fill="FFFFFF"/>
          <w:lang w:val="uk-UA"/>
        </w:rPr>
        <w:t>.</w:t>
      </w:r>
    </w:p>
    <w:p w14:paraId="26972406" w14:textId="2397DEFF" w:rsidR="00E97D08" w:rsidRPr="008F25EC" w:rsidRDefault="00FC152A" w:rsidP="008F25EC">
      <w:pPr>
        <w:tabs>
          <w:tab w:val="left" w:pos="1134"/>
        </w:tabs>
        <w:spacing w:before="60" w:after="60" w:line="240" w:lineRule="auto"/>
        <w:ind w:firstLine="709"/>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 xml:space="preserve">У разі прийняття рішення про відмову в задоволенні заяви, орган державного </w:t>
      </w:r>
      <w:r w:rsidR="009D720A" w:rsidRPr="008F25EC">
        <w:rPr>
          <w:rFonts w:ascii="Times New Roman" w:hAnsi="Times New Roman" w:cs="Times New Roman"/>
          <w:color w:val="000000"/>
          <w:sz w:val="28"/>
          <w:szCs w:val="28"/>
          <w:shd w:val="clear" w:color="auto" w:fill="FFFFFF"/>
          <w:lang w:val="uk-UA"/>
        </w:rPr>
        <w:t>нагляду (контролю)</w:t>
      </w:r>
      <w:r w:rsidR="00E02CD3" w:rsidRPr="008F25EC">
        <w:rPr>
          <w:rFonts w:ascii="Times New Roman" w:hAnsi="Times New Roman" w:cs="Times New Roman"/>
          <w:color w:val="000000"/>
          <w:sz w:val="28"/>
          <w:szCs w:val="28"/>
          <w:shd w:val="clear" w:color="auto" w:fill="FFFFFF"/>
          <w:lang w:val="uk-UA"/>
        </w:rPr>
        <w:t xml:space="preserve"> зазначає підстави такої відмови у своїй </w:t>
      </w:r>
      <w:r w:rsidR="00DD622D" w:rsidRPr="008F25EC">
        <w:rPr>
          <w:rFonts w:ascii="Times New Roman" w:hAnsi="Times New Roman" w:cs="Times New Roman"/>
          <w:color w:val="000000"/>
          <w:sz w:val="28"/>
          <w:szCs w:val="28"/>
          <w:shd w:val="clear" w:color="auto" w:fill="FFFFFF"/>
          <w:lang w:val="uk-UA"/>
        </w:rPr>
        <w:t>відповіді.</w:t>
      </w:r>
    </w:p>
    <w:p w14:paraId="165D6F3D" w14:textId="63D3A582" w:rsidR="00F23D4A" w:rsidRPr="008F25EC" w:rsidRDefault="00DD622D" w:rsidP="008F25EC">
      <w:pPr>
        <w:pStyle w:val="a3"/>
        <w:numPr>
          <w:ilvl w:val="0"/>
          <w:numId w:val="1"/>
        </w:numPr>
        <w:tabs>
          <w:tab w:val="left" w:pos="993"/>
          <w:tab w:val="left" w:pos="1134"/>
        </w:tabs>
        <w:spacing w:before="60" w:after="60" w:line="240" w:lineRule="auto"/>
        <w:ind w:left="0" w:firstLine="709"/>
        <w:contextualSpacing w:val="0"/>
        <w:jc w:val="both"/>
        <w:rPr>
          <w:rFonts w:ascii="Times New Roman" w:hAnsi="Times New Roman" w:cs="Times New Roman"/>
          <w:color w:val="000000"/>
          <w:sz w:val="28"/>
          <w:szCs w:val="28"/>
          <w:shd w:val="clear" w:color="auto" w:fill="FFFFFF"/>
          <w:lang w:val="uk-UA"/>
        </w:rPr>
      </w:pPr>
      <w:r w:rsidRPr="008F25EC">
        <w:rPr>
          <w:rFonts w:ascii="Times New Roman" w:hAnsi="Times New Roman" w:cs="Times New Roman"/>
          <w:color w:val="000000"/>
          <w:sz w:val="28"/>
          <w:szCs w:val="28"/>
          <w:shd w:val="clear" w:color="auto" w:fill="FFFFFF"/>
          <w:lang w:val="uk-UA"/>
        </w:rPr>
        <w:t>У разі незгоди з рішенням органу державного нагляду (контролю) суб’єкт господарювання має право оскаржити таке рішення в судовому порядку.</w:t>
      </w:r>
    </w:p>
    <w:sectPr w:rsidR="00F23D4A" w:rsidRPr="008F25EC" w:rsidSect="008F25EC">
      <w:headerReference w:type="default" r:id="rId8"/>
      <w:pgSz w:w="11906" w:h="16838"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37C6" w14:textId="77777777" w:rsidR="007A5F41" w:rsidRDefault="007A5F41" w:rsidP="008F25EC">
      <w:pPr>
        <w:spacing w:after="0" w:line="240" w:lineRule="auto"/>
      </w:pPr>
      <w:r>
        <w:separator/>
      </w:r>
    </w:p>
  </w:endnote>
  <w:endnote w:type="continuationSeparator" w:id="0">
    <w:p w14:paraId="33C872A8" w14:textId="77777777" w:rsidR="007A5F41" w:rsidRDefault="007A5F41" w:rsidP="008F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EF8A" w14:textId="77777777" w:rsidR="007A5F41" w:rsidRDefault="007A5F41" w:rsidP="008F25EC">
      <w:pPr>
        <w:spacing w:after="0" w:line="240" w:lineRule="auto"/>
      </w:pPr>
      <w:r>
        <w:separator/>
      </w:r>
    </w:p>
  </w:footnote>
  <w:footnote w:type="continuationSeparator" w:id="0">
    <w:p w14:paraId="5C533475" w14:textId="77777777" w:rsidR="007A5F41" w:rsidRDefault="007A5F41" w:rsidP="008F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032068"/>
      <w:docPartObj>
        <w:docPartGallery w:val="Page Numbers (Top of Page)"/>
        <w:docPartUnique/>
      </w:docPartObj>
    </w:sdtPr>
    <w:sdtEndPr>
      <w:rPr>
        <w:rFonts w:ascii="Times New Roman" w:hAnsi="Times New Roman" w:cs="Times New Roman"/>
        <w:sz w:val="24"/>
        <w:szCs w:val="24"/>
      </w:rPr>
    </w:sdtEndPr>
    <w:sdtContent>
      <w:p w14:paraId="6A30F39E" w14:textId="59841DA7" w:rsidR="008F25EC" w:rsidRPr="008F25EC" w:rsidRDefault="008F25EC" w:rsidP="008F25EC">
        <w:pPr>
          <w:pStyle w:val="af"/>
          <w:jc w:val="center"/>
          <w:rPr>
            <w:rFonts w:ascii="Times New Roman" w:hAnsi="Times New Roman" w:cs="Times New Roman"/>
            <w:sz w:val="24"/>
            <w:szCs w:val="24"/>
          </w:rPr>
        </w:pPr>
        <w:r w:rsidRPr="008F25EC">
          <w:rPr>
            <w:rFonts w:ascii="Times New Roman" w:hAnsi="Times New Roman" w:cs="Times New Roman"/>
            <w:sz w:val="24"/>
            <w:szCs w:val="24"/>
          </w:rPr>
          <w:fldChar w:fldCharType="begin"/>
        </w:r>
        <w:r w:rsidRPr="008F25EC">
          <w:rPr>
            <w:rFonts w:ascii="Times New Roman" w:hAnsi="Times New Roman" w:cs="Times New Roman"/>
            <w:sz w:val="24"/>
            <w:szCs w:val="24"/>
          </w:rPr>
          <w:instrText>PAGE   \* MERGEFORMAT</w:instrText>
        </w:r>
        <w:r w:rsidRPr="008F25EC">
          <w:rPr>
            <w:rFonts w:ascii="Times New Roman" w:hAnsi="Times New Roman" w:cs="Times New Roman"/>
            <w:sz w:val="24"/>
            <w:szCs w:val="24"/>
          </w:rPr>
          <w:fldChar w:fldCharType="separate"/>
        </w:r>
        <w:r w:rsidR="00227A9E">
          <w:rPr>
            <w:rFonts w:ascii="Times New Roman" w:hAnsi="Times New Roman" w:cs="Times New Roman"/>
            <w:noProof/>
            <w:sz w:val="24"/>
            <w:szCs w:val="24"/>
          </w:rPr>
          <w:t>16</w:t>
        </w:r>
        <w:r w:rsidRPr="008F25E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E7B"/>
    <w:multiLevelType w:val="hybridMultilevel"/>
    <w:tmpl w:val="7D22FEA8"/>
    <w:lvl w:ilvl="0" w:tplc="17D817EC">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8CE7B60"/>
    <w:multiLevelType w:val="hybridMultilevel"/>
    <w:tmpl w:val="648CD450"/>
    <w:lvl w:ilvl="0" w:tplc="7B6695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BA3899"/>
    <w:multiLevelType w:val="hybridMultilevel"/>
    <w:tmpl w:val="2926F032"/>
    <w:lvl w:ilvl="0" w:tplc="0419000F">
      <w:start w:val="1"/>
      <w:numFmt w:val="decimal"/>
      <w:lvlText w:val="%1."/>
      <w:lvlJc w:val="left"/>
      <w:pPr>
        <w:ind w:left="786"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1B1235D3"/>
    <w:multiLevelType w:val="hybridMultilevel"/>
    <w:tmpl w:val="AE02270A"/>
    <w:lvl w:ilvl="0" w:tplc="69BCC2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26F33E8"/>
    <w:multiLevelType w:val="hybridMultilevel"/>
    <w:tmpl w:val="1B7A8A5C"/>
    <w:lvl w:ilvl="0" w:tplc="4460988E">
      <w:start w:val="1"/>
      <w:numFmt w:val="decimal"/>
      <w:lvlText w:val="%1."/>
      <w:lvlJc w:val="left"/>
      <w:pPr>
        <w:ind w:left="910" w:hanging="4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6BE09A6"/>
    <w:multiLevelType w:val="hybridMultilevel"/>
    <w:tmpl w:val="87D68DD6"/>
    <w:lvl w:ilvl="0" w:tplc="17D817E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E30F77"/>
    <w:multiLevelType w:val="hybridMultilevel"/>
    <w:tmpl w:val="FF809AB2"/>
    <w:lvl w:ilvl="0" w:tplc="17D817EC">
      <w:start w:val="1"/>
      <w:numFmt w:val="upperRoman"/>
      <w:lvlText w:val="%1."/>
      <w:lvlJc w:val="righ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267CDA"/>
    <w:multiLevelType w:val="hybridMultilevel"/>
    <w:tmpl w:val="83B2CF20"/>
    <w:lvl w:ilvl="0" w:tplc="B908DF24">
      <w:start w:val="1"/>
      <w:numFmt w:val="decimal"/>
      <w:lvlText w:val="%1."/>
      <w:lvlJc w:val="left"/>
      <w:pPr>
        <w:ind w:left="8015" w:hanging="360"/>
      </w:pPr>
      <w:rPr>
        <w:rFonts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A6"/>
    <w:rsid w:val="000163CF"/>
    <w:rsid w:val="00016810"/>
    <w:rsid w:val="00016E79"/>
    <w:rsid w:val="00031D9C"/>
    <w:rsid w:val="000338D8"/>
    <w:rsid w:val="00033D18"/>
    <w:rsid w:val="000414D8"/>
    <w:rsid w:val="000450C1"/>
    <w:rsid w:val="000454C8"/>
    <w:rsid w:val="00065BF4"/>
    <w:rsid w:val="00066083"/>
    <w:rsid w:val="00071CA8"/>
    <w:rsid w:val="000738C1"/>
    <w:rsid w:val="00085609"/>
    <w:rsid w:val="00094AAE"/>
    <w:rsid w:val="00096163"/>
    <w:rsid w:val="00097F18"/>
    <w:rsid w:val="000A2007"/>
    <w:rsid w:val="000A7BA6"/>
    <w:rsid w:val="000A7F31"/>
    <w:rsid w:val="000C13D6"/>
    <w:rsid w:val="000C57F2"/>
    <w:rsid w:val="000D3AF3"/>
    <w:rsid w:val="000D5B4B"/>
    <w:rsid w:val="000E6597"/>
    <w:rsid w:val="000E7812"/>
    <w:rsid w:val="000E7CC9"/>
    <w:rsid w:val="000F0A07"/>
    <w:rsid w:val="000F5745"/>
    <w:rsid w:val="000F5D5A"/>
    <w:rsid w:val="000F76F0"/>
    <w:rsid w:val="00104756"/>
    <w:rsid w:val="00106098"/>
    <w:rsid w:val="001139C6"/>
    <w:rsid w:val="0011522F"/>
    <w:rsid w:val="00115C91"/>
    <w:rsid w:val="001161A3"/>
    <w:rsid w:val="0012051C"/>
    <w:rsid w:val="00131CCF"/>
    <w:rsid w:val="00140EA3"/>
    <w:rsid w:val="0014144A"/>
    <w:rsid w:val="001433AD"/>
    <w:rsid w:val="0015153C"/>
    <w:rsid w:val="001532E5"/>
    <w:rsid w:val="00157749"/>
    <w:rsid w:val="0016470A"/>
    <w:rsid w:val="00166C44"/>
    <w:rsid w:val="00170349"/>
    <w:rsid w:val="001706F0"/>
    <w:rsid w:val="001710D2"/>
    <w:rsid w:val="0017749C"/>
    <w:rsid w:val="0018555D"/>
    <w:rsid w:val="001966E6"/>
    <w:rsid w:val="001A02C2"/>
    <w:rsid w:val="001A2D06"/>
    <w:rsid w:val="001A4AA3"/>
    <w:rsid w:val="001A7C33"/>
    <w:rsid w:val="001B01D0"/>
    <w:rsid w:val="001B051D"/>
    <w:rsid w:val="001B05F9"/>
    <w:rsid w:val="001B2BB6"/>
    <w:rsid w:val="001B2EBE"/>
    <w:rsid w:val="001B7895"/>
    <w:rsid w:val="001C6368"/>
    <w:rsid w:val="001C7315"/>
    <w:rsid w:val="001D3FF1"/>
    <w:rsid w:val="001E5CBC"/>
    <w:rsid w:val="001E64B5"/>
    <w:rsid w:val="001F0C74"/>
    <w:rsid w:val="001F391D"/>
    <w:rsid w:val="001F6441"/>
    <w:rsid w:val="0020022F"/>
    <w:rsid w:val="00201A4E"/>
    <w:rsid w:val="00210055"/>
    <w:rsid w:val="00222C0E"/>
    <w:rsid w:val="002275C8"/>
    <w:rsid w:val="00227A9E"/>
    <w:rsid w:val="00232CCA"/>
    <w:rsid w:val="00234910"/>
    <w:rsid w:val="002379A6"/>
    <w:rsid w:val="0024203A"/>
    <w:rsid w:val="00243160"/>
    <w:rsid w:val="00250E8F"/>
    <w:rsid w:val="00251906"/>
    <w:rsid w:val="00254132"/>
    <w:rsid w:val="002546D0"/>
    <w:rsid w:val="002565F3"/>
    <w:rsid w:val="0026168E"/>
    <w:rsid w:val="002706ED"/>
    <w:rsid w:val="00276C0C"/>
    <w:rsid w:val="0027706C"/>
    <w:rsid w:val="00277F9D"/>
    <w:rsid w:val="00283003"/>
    <w:rsid w:val="002838BE"/>
    <w:rsid w:val="00284E35"/>
    <w:rsid w:val="0028725F"/>
    <w:rsid w:val="002A3E29"/>
    <w:rsid w:val="002A4909"/>
    <w:rsid w:val="002A5196"/>
    <w:rsid w:val="002C00B9"/>
    <w:rsid w:val="002C1DEF"/>
    <w:rsid w:val="002C52E1"/>
    <w:rsid w:val="002D0849"/>
    <w:rsid w:val="002D1469"/>
    <w:rsid w:val="002D5EDC"/>
    <w:rsid w:val="002D7A84"/>
    <w:rsid w:val="002F1155"/>
    <w:rsid w:val="002F726D"/>
    <w:rsid w:val="00311B80"/>
    <w:rsid w:val="003162C5"/>
    <w:rsid w:val="00316C5C"/>
    <w:rsid w:val="003215FC"/>
    <w:rsid w:val="00325779"/>
    <w:rsid w:val="00326D21"/>
    <w:rsid w:val="00333AFB"/>
    <w:rsid w:val="003365E7"/>
    <w:rsid w:val="00354D35"/>
    <w:rsid w:val="00356AA3"/>
    <w:rsid w:val="00363862"/>
    <w:rsid w:val="00364649"/>
    <w:rsid w:val="0037258B"/>
    <w:rsid w:val="003754A5"/>
    <w:rsid w:val="00375C28"/>
    <w:rsid w:val="00376258"/>
    <w:rsid w:val="003767D7"/>
    <w:rsid w:val="00381816"/>
    <w:rsid w:val="00383503"/>
    <w:rsid w:val="00383643"/>
    <w:rsid w:val="00392218"/>
    <w:rsid w:val="0039673F"/>
    <w:rsid w:val="00396B35"/>
    <w:rsid w:val="003A6178"/>
    <w:rsid w:val="003A7AA7"/>
    <w:rsid w:val="003B6521"/>
    <w:rsid w:val="003C20A1"/>
    <w:rsid w:val="003D0091"/>
    <w:rsid w:val="003D4318"/>
    <w:rsid w:val="003E1CDC"/>
    <w:rsid w:val="003E3E6D"/>
    <w:rsid w:val="003E5429"/>
    <w:rsid w:val="003F57E8"/>
    <w:rsid w:val="003F6001"/>
    <w:rsid w:val="00410CFC"/>
    <w:rsid w:val="004200CA"/>
    <w:rsid w:val="004207BF"/>
    <w:rsid w:val="00426051"/>
    <w:rsid w:val="00426381"/>
    <w:rsid w:val="00427D82"/>
    <w:rsid w:val="00432C24"/>
    <w:rsid w:val="00442D5A"/>
    <w:rsid w:val="00444E29"/>
    <w:rsid w:val="00447129"/>
    <w:rsid w:val="00466FB4"/>
    <w:rsid w:val="00473443"/>
    <w:rsid w:val="00476310"/>
    <w:rsid w:val="00480540"/>
    <w:rsid w:val="004906CA"/>
    <w:rsid w:val="0049168E"/>
    <w:rsid w:val="00492F81"/>
    <w:rsid w:val="004947F7"/>
    <w:rsid w:val="004A10F3"/>
    <w:rsid w:val="004B3B35"/>
    <w:rsid w:val="004B5415"/>
    <w:rsid w:val="004C000B"/>
    <w:rsid w:val="004C2A0B"/>
    <w:rsid w:val="004C4EC0"/>
    <w:rsid w:val="004C4EEB"/>
    <w:rsid w:val="004C6B84"/>
    <w:rsid w:val="004D0261"/>
    <w:rsid w:val="004D1DDF"/>
    <w:rsid w:val="004D1F21"/>
    <w:rsid w:val="004E3898"/>
    <w:rsid w:val="004E7EDB"/>
    <w:rsid w:val="004F23C2"/>
    <w:rsid w:val="004F306F"/>
    <w:rsid w:val="004F3C39"/>
    <w:rsid w:val="004F57B9"/>
    <w:rsid w:val="00506909"/>
    <w:rsid w:val="00510CC0"/>
    <w:rsid w:val="0051108C"/>
    <w:rsid w:val="005166B7"/>
    <w:rsid w:val="005178C6"/>
    <w:rsid w:val="00522E3D"/>
    <w:rsid w:val="005247EA"/>
    <w:rsid w:val="00531E39"/>
    <w:rsid w:val="0053414E"/>
    <w:rsid w:val="00536609"/>
    <w:rsid w:val="00543248"/>
    <w:rsid w:val="005508D4"/>
    <w:rsid w:val="00551CD8"/>
    <w:rsid w:val="005562B7"/>
    <w:rsid w:val="0055715D"/>
    <w:rsid w:val="0055778A"/>
    <w:rsid w:val="005577BA"/>
    <w:rsid w:val="00565FD2"/>
    <w:rsid w:val="00573CC7"/>
    <w:rsid w:val="00577F0A"/>
    <w:rsid w:val="00593A75"/>
    <w:rsid w:val="00594AAB"/>
    <w:rsid w:val="00594DE8"/>
    <w:rsid w:val="005A25F0"/>
    <w:rsid w:val="005B170C"/>
    <w:rsid w:val="005B195E"/>
    <w:rsid w:val="005C26F7"/>
    <w:rsid w:val="005C41D5"/>
    <w:rsid w:val="005D2FCB"/>
    <w:rsid w:val="005D3FE1"/>
    <w:rsid w:val="005E3CB4"/>
    <w:rsid w:val="005E6A00"/>
    <w:rsid w:val="005F3330"/>
    <w:rsid w:val="005F5808"/>
    <w:rsid w:val="00601AA2"/>
    <w:rsid w:val="006043C7"/>
    <w:rsid w:val="006061DF"/>
    <w:rsid w:val="00620D5F"/>
    <w:rsid w:val="006223CA"/>
    <w:rsid w:val="0063127B"/>
    <w:rsid w:val="0063389A"/>
    <w:rsid w:val="00633FC5"/>
    <w:rsid w:val="00636FB4"/>
    <w:rsid w:val="00653433"/>
    <w:rsid w:val="00655C2E"/>
    <w:rsid w:val="00662542"/>
    <w:rsid w:val="00664497"/>
    <w:rsid w:val="00671438"/>
    <w:rsid w:val="00672AED"/>
    <w:rsid w:val="00676383"/>
    <w:rsid w:val="0067650A"/>
    <w:rsid w:val="006859B5"/>
    <w:rsid w:val="006A0E27"/>
    <w:rsid w:val="006B4A90"/>
    <w:rsid w:val="006C3D84"/>
    <w:rsid w:val="006C4B2B"/>
    <w:rsid w:val="006C7371"/>
    <w:rsid w:val="006D1335"/>
    <w:rsid w:val="006D207C"/>
    <w:rsid w:val="006D3284"/>
    <w:rsid w:val="006E298C"/>
    <w:rsid w:val="006E3C2B"/>
    <w:rsid w:val="006F1D28"/>
    <w:rsid w:val="006F466E"/>
    <w:rsid w:val="00701286"/>
    <w:rsid w:val="00702D71"/>
    <w:rsid w:val="007060B2"/>
    <w:rsid w:val="007114CF"/>
    <w:rsid w:val="007141CF"/>
    <w:rsid w:val="00714C73"/>
    <w:rsid w:val="00717E2B"/>
    <w:rsid w:val="00725F97"/>
    <w:rsid w:val="00737B11"/>
    <w:rsid w:val="00743622"/>
    <w:rsid w:val="00745F25"/>
    <w:rsid w:val="00753B9B"/>
    <w:rsid w:val="00753C2A"/>
    <w:rsid w:val="00765F11"/>
    <w:rsid w:val="00774B08"/>
    <w:rsid w:val="00780E69"/>
    <w:rsid w:val="00786C26"/>
    <w:rsid w:val="0078753E"/>
    <w:rsid w:val="007901AF"/>
    <w:rsid w:val="007961B0"/>
    <w:rsid w:val="007A2767"/>
    <w:rsid w:val="007A3025"/>
    <w:rsid w:val="007A5F41"/>
    <w:rsid w:val="007B0065"/>
    <w:rsid w:val="007B3B04"/>
    <w:rsid w:val="007B54F7"/>
    <w:rsid w:val="007C0D0E"/>
    <w:rsid w:val="007C1A8A"/>
    <w:rsid w:val="007C222D"/>
    <w:rsid w:val="007C2609"/>
    <w:rsid w:val="007C5681"/>
    <w:rsid w:val="007D0596"/>
    <w:rsid w:val="007E1544"/>
    <w:rsid w:val="007E5BFE"/>
    <w:rsid w:val="007F0FF1"/>
    <w:rsid w:val="007F5643"/>
    <w:rsid w:val="00800522"/>
    <w:rsid w:val="00801DA0"/>
    <w:rsid w:val="00806067"/>
    <w:rsid w:val="00811E62"/>
    <w:rsid w:val="008231A0"/>
    <w:rsid w:val="0083361A"/>
    <w:rsid w:val="0083749B"/>
    <w:rsid w:val="00844654"/>
    <w:rsid w:val="00845103"/>
    <w:rsid w:val="00847058"/>
    <w:rsid w:val="00850BA1"/>
    <w:rsid w:val="00853826"/>
    <w:rsid w:val="00855AC5"/>
    <w:rsid w:val="0086122A"/>
    <w:rsid w:val="00862562"/>
    <w:rsid w:val="008632D8"/>
    <w:rsid w:val="00880ED4"/>
    <w:rsid w:val="00883D0E"/>
    <w:rsid w:val="00894B31"/>
    <w:rsid w:val="008955F1"/>
    <w:rsid w:val="008A181C"/>
    <w:rsid w:val="008A4E27"/>
    <w:rsid w:val="008A5502"/>
    <w:rsid w:val="008A6219"/>
    <w:rsid w:val="008A6F00"/>
    <w:rsid w:val="008D27E5"/>
    <w:rsid w:val="008D6BE8"/>
    <w:rsid w:val="008D6D38"/>
    <w:rsid w:val="008E34E0"/>
    <w:rsid w:val="008F25EC"/>
    <w:rsid w:val="008F53B1"/>
    <w:rsid w:val="008F59B7"/>
    <w:rsid w:val="008F6CA2"/>
    <w:rsid w:val="00903F13"/>
    <w:rsid w:val="00905FC6"/>
    <w:rsid w:val="009106D1"/>
    <w:rsid w:val="009171EF"/>
    <w:rsid w:val="00922E9A"/>
    <w:rsid w:val="0092428F"/>
    <w:rsid w:val="009267F1"/>
    <w:rsid w:val="00931144"/>
    <w:rsid w:val="009324AD"/>
    <w:rsid w:val="00933810"/>
    <w:rsid w:val="00934021"/>
    <w:rsid w:val="009348F9"/>
    <w:rsid w:val="00944500"/>
    <w:rsid w:val="00945944"/>
    <w:rsid w:val="009464A6"/>
    <w:rsid w:val="00953196"/>
    <w:rsid w:val="00962DFB"/>
    <w:rsid w:val="009633A3"/>
    <w:rsid w:val="00967070"/>
    <w:rsid w:val="00970F68"/>
    <w:rsid w:val="009756C9"/>
    <w:rsid w:val="009776DA"/>
    <w:rsid w:val="00981AAC"/>
    <w:rsid w:val="009831EF"/>
    <w:rsid w:val="00985698"/>
    <w:rsid w:val="00990B8A"/>
    <w:rsid w:val="009A50D0"/>
    <w:rsid w:val="009B285A"/>
    <w:rsid w:val="009B3F92"/>
    <w:rsid w:val="009C0D30"/>
    <w:rsid w:val="009C6E2C"/>
    <w:rsid w:val="009C7F87"/>
    <w:rsid w:val="009D0774"/>
    <w:rsid w:val="009D19BD"/>
    <w:rsid w:val="009D3EBC"/>
    <w:rsid w:val="009D720A"/>
    <w:rsid w:val="009F4267"/>
    <w:rsid w:val="009F56F7"/>
    <w:rsid w:val="009F76E0"/>
    <w:rsid w:val="00A069FD"/>
    <w:rsid w:val="00A24580"/>
    <w:rsid w:val="00A321D1"/>
    <w:rsid w:val="00A33087"/>
    <w:rsid w:val="00A337C4"/>
    <w:rsid w:val="00A35DD5"/>
    <w:rsid w:val="00A3690D"/>
    <w:rsid w:val="00A50FDE"/>
    <w:rsid w:val="00A535AA"/>
    <w:rsid w:val="00A542B1"/>
    <w:rsid w:val="00A608CB"/>
    <w:rsid w:val="00A67E1E"/>
    <w:rsid w:val="00A72004"/>
    <w:rsid w:val="00A85529"/>
    <w:rsid w:val="00A8683C"/>
    <w:rsid w:val="00A87A61"/>
    <w:rsid w:val="00A90037"/>
    <w:rsid w:val="00A9157F"/>
    <w:rsid w:val="00A977BD"/>
    <w:rsid w:val="00AA0B86"/>
    <w:rsid w:val="00AA3140"/>
    <w:rsid w:val="00AA6D16"/>
    <w:rsid w:val="00AB003E"/>
    <w:rsid w:val="00AB139A"/>
    <w:rsid w:val="00AB52E0"/>
    <w:rsid w:val="00AC4BB6"/>
    <w:rsid w:val="00AC4C05"/>
    <w:rsid w:val="00AC4F77"/>
    <w:rsid w:val="00AD1328"/>
    <w:rsid w:val="00AD3222"/>
    <w:rsid w:val="00AD66F6"/>
    <w:rsid w:val="00AD7043"/>
    <w:rsid w:val="00AE1131"/>
    <w:rsid w:val="00AE427B"/>
    <w:rsid w:val="00AE5A35"/>
    <w:rsid w:val="00AF5A84"/>
    <w:rsid w:val="00B10C78"/>
    <w:rsid w:val="00B13EFE"/>
    <w:rsid w:val="00B14738"/>
    <w:rsid w:val="00B14753"/>
    <w:rsid w:val="00B25226"/>
    <w:rsid w:val="00B47F30"/>
    <w:rsid w:val="00B50FA8"/>
    <w:rsid w:val="00B572A6"/>
    <w:rsid w:val="00B57A84"/>
    <w:rsid w:val="00B62826"/>
    <w:rsid w:val="00B71CDA"/>
    <w:rsid w:val="00B824B7"/>
    <w:rsid w:val="00B829D2"/>
    <w:rsid w:val="00B903A7"/>
    <w:rsid w:val="00B90CEA"/>
    <w:rsid w:val="00B918EB"/>
    <w:rsid w:val="00B9346A"/>
    <w:rsid w:val="00B9506A"/>
    <w:rsid w:val="00BA0D37"/>
    <w:rsid w:val="00BA1583"/>
    <w:rsid w:val="00BA216F"/>
    <w:rsid w:val="00BA3A82"/>
    <w:rsid w:val="00BA44C2"/>
    <w:rsid w:val="00BA56F6"/>
    <w:rsid w:val="00BA7EA4"/>
    <w:rsid w:val="00BB218E"/>
    <w:rsid w:val="00BB62CE"/>
    <w:rsid w:val="00BC2DEC"/>
    <w:rsid w:val="00BC401A"/>
    <w:rsid w:val="00BD3614"/>
    <w:rsid w:val="00BD3B15"/>
    <w:rsid w:val="00BE40EB"/>
    <w:rsid w:val="00BE49EE"/>
    <w:rsid w:val="00BE52CB"/>
    <w:rsid w:val="00BE5BB7"/>
    <w:rsid w:val="00BF5B12"/>
    <w:rsid w:val="00C03618"/>
    <w:rsid w:val="00C03923"/>
    <w:rsid w:val="00C063F7"/>
    <w:rsid w:val="00C13CD8"/>
    <w:rsid w:val="00C169B0"/>
    <w:rsid w:val="00C2145C"/>
    <w:rsid w:val="00C3277F"/>
    <w:rsid w:val="00C41F40"/>
    <w:rsid w:val="00C4669C"/>
    <w:rsid w:val="00C473EC"/>
    <w:rsid w:val="00C571EC"/>
    <w:rsid w:val="00C572D0"/>
    <w:rsid w:val="00C57ECA"/>
    <w:rsid w:val="00C6786D"/>
    <w:rsid w:val="00C71C07"/>
    <w:rsid w:val="00C72518"/>
    <w:rsid w:val="00C763D4"/>
    <w:rsid w:val="00C80550"/>
    <w:rsid w:val="00C96E6E"/>
    <w:rsid w:val="00C97DE8"/>
    <w:rsid w:val="00CA0045"/>
    <w:rsid w:val="00CA119D"/>
    <w:rsid w:val="00CA1A07"/>
    <w:rsid w:val="00CA44EC"/>
    <w:rsid w:val="00CA61BF"/>
    <w:rsid w:val="00CB3D6E"/>
    <w:rsid w:val="00CC0B48"/>
    <w:rsid w:val="00CC4EB9"/>
    <w:rsid w:val="00CD1CB2"/>
    <w:rsid w:val="00CD40B5"/>
    <w:rsid w:val="00CD4FCE"/>
    <w:rsid w:val="00CE242F"/>
    <w:rsid w:val="00CE2A50"/>
    <w:rsid w:val="00CE3623"/>
    <w:rsid w:val="00CE424B"/>
    <w:rsid w:val="00CE5DC1"/>
    <w:rsid w:val="00CF133F"/>
    <w:rsid w:val="00D0109A"/>
    <w:rsid w:val="00D01669"/>
    <w:rsid w:val="00D02BE3"/>
    <w:rsid w:val="00D129FA"/>
    <w:rsid w:val="00D156DE"/>
    <w:rsid w:val="00D228BB"/>
    <w:rsid w:val="00D268DC"/>
    <w:rsid w:val="00D30766"/>
    <w:rsid w:val="00D315A1"/>
    <w:rsid w:val="00D32746"/>
    <w:rsid w:val="00D368AF"/>
    <w:rsid w:val="00D4600F"/>
    <w:rsid w:val="00D46457"/>
    <w:rsid w:val="00D4746A"/>
    <w:rsid w:val="00D555C1"/>
    <w:rsid w:val="00D556B0"/>
    <w:rsid w:val="00D65603"/>
    <w:rsid w:val="00D74538"/>
    <w:rsid w:val="00D76240"/>
    <w:rsid w:val="00D80FC3"/>
    <w:rsid w:val="00D81990"/>
    <w:rsid w:val="00D8439B"/>
    <w:rsid w:val="00D91ECD"/>
    <w:rsid w:val="00D92E68"/>
    <w:rsid w:val="00D92FAF"/>
    <w:rsid w:val="00D95234"/>
    <w:rsid w:val="00D96E34"/>
    <w:rsid w:val="00D97D1C"/>
    <w:rsid w:val="00DA7E6E"/>
    <w:rsid w:val="00DB6269"/>
    <w:rsid w:val="00DC0B2A"/>
    <w:rsid w:val="00DC0D48"/>
    <w:rsid w:val="00DD5509"/>
    <w:rsid w:val="00DD622D"/>
    <w:rsid w:val="00DE0342"/>
    <w:rsid w:val="00DF338D"/>
    <w:rsid w:val="00DF3655"/>
    <w:rsid w:val="00E00AEA"/>
    <w:rsid w:val="00E02CD3"/>
    <w:rsid w:val="00E03A68"/>
    <w:rsid w:val="00E04820"/>
    <w:rsid w:val="00E05024"/>
    <w:rsid w:val="00E07D8A"/>
    <w:rsid w:val="00E12DFF"/>
    <w:rsid w:val="00E16AA7"/>
    <w:rsid w:val="00E21B66"/>
    <w:rsid w:val="00E2657B"/>
    <w:rsid w:val="00E31645"/>
    <w:rsid w:val="00E36B8F"/>
    <w:rsid w:val="00E4174C"/>
    <w:rsid w:val="00E45E74"/>
    <w:rsid w:val="00E474CC"/>
    <w:rsid w:val="00E5700A"/>
    <w:rsid w:val="00E57429"/>
    <w:rsid w:val="00E60912"/>
    <w:rsid w:val="00E62D69"/>
    <w:rsid w:val="00E74ADB"/>
    <w:rsid w:val="00E85AB2"/>
    <w:rsid w:val="00E87826"/>
    <w:rsid w:val="00E90C2F"/>
    <w:rsid w:val="00E91527"/>
    <w:rsid w:val="00E919E2"/>
    <w:rsid w:val="00E9211A"/>
    <w:rsid w:val="00E92B12"/>
    <w:rsid w:val="00E94F61"/>
    <w:rsid w:val="00E96962"/>
    <w:rsid w:val="00E97D08"/>
    <w:rsid w:val="00EA1592"/>
    <w:rsid w:val="00EA2780"/>
    <w:rsid w:val="00EA4F66"/>
    <w:rsid w:val="00EB5F6C"/>
    <w:rsid w:val="00EB73B0"/>
    <w:rsid w:val="00EC2132"/>
    <w:rsid w:val="00EC3C5F"/>
    <w:rsid w:val="00EC58DD"/>
    <w:rsid w:val="00ED340D"/>
    <w:rsid w:val="00ED3A41"/>
    <w:rsid w:val="00ED7277"/>
    <w:rsid w:val="00EE7344"/>
    <w:rsid w:val="00EF0275"/>
    <w:rsid w:val="00EF2745"/>
    <w:rsid w:val="00F00EE2"/>
    <w:rsid w:val="00F149CC"/>
    <w:rsid w:val="00F155EF"/>
    <w:rsid w:val="00F22A66"/>
    <w:rsid w:val="00F23D4A"/>
    <w:rsid w:val="00F2727E"/>
    <w:rsid w:val="00F34D0C"/>
    <w:rsid w:val="00F425C0"/>
    <w:rsid w:val="00F47310"/>
    <w:rsid w:val="00F47CD9"/>
    <w:rsid w:val="00F518D8"/>
    <w:rsid w:val="00F534CC"/>
    <w:rsid w:val="00F5625E"/>
    <w:rsid w:val="00F6137E"/>
    <w:rsid w:val="00F61DAB"/>
    <w:rsid w:val="00F66F0C"/>
    <w:rsid w:val="00F73571"/>
    <w:rsid w:val="00F7368A"/>
    <w:rsid w:val="00F80A55"/>
    <w:rsid w:val="00F85F3D"/>
    <w:rsid w:val="00F90B44"/>
    <w:rsid w:val="00F93299"/>
    <w:rsid w:val="00F947B6"/>
    <w:rsid w:val="00FA7618"/>
    <w:rsid w:val="00FB6292"/>
    <w:rsid w:val="00FC152A"/>
    <w:rsid w:val="00FC175B"/>
    <w:rsid w:val="00FC2B6C"/>
    <w:rsid w:val="00FC6835"/>
    <w:rsid w:val="00FC6BF0"/>
    <w:rsid w:val="00FD2460"/>
    <w:rsid w:val="00FD760E"/>
    <w:rsid w:val="00FE1D7F"/>
    <w:rsid w:val="00FE2B5F"/>
    <w:rsid w:val="00FE37E3"/>
    <w:rsid w:val="00FE44CC"/>
    <w:rsid w:val="00FE5A0C"/>
    <w:rsid w:val="00FF014A"/>
    <w:rsid w:val="00FF2D8F"/>
    <w:rsid w:val="00FF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461"/>
  <w15:chartTrackingRefBased/>
  <w15:docId w15:val="{AC0B6C3F-EBAD-4BCC-B3D2-C5121B58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F13"/>
    <w:pPr>
      <w:ind w:left="720"/>
      <w:contextualSpacing/>
    </w:pPr>
  </w:style>
  <w:style w:type="paragraph" w:customStyle="1" w:styleId="rvps17">
    <w:name w:val="rvps17"/>
    <w:basedOn w:val="a"/>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0022F"/>
  </w:style>
  <w:style w:type="character" w:customStyle="1" w:styleId="apple-converted-space">
    <w:name w:val="apple-converted-space"/>
    <w:basedOn w:val="a0"/>
    <w:rsid w:val="0020022F"/>
  </w:style>
  <w:style w:type="character" w:customStyle="1" w:styleId="rvts64">
    <w:name w:val="rvts64"/>
    <w:basedOn w:val="a0"/>
    <w:rsid w:val="0020022F"/>
  </w:style>
  <w:style w:type="paragraph" w:customStyle="1" w:styleId="rvps7">
    <w:name w:val="rvps7"/>
    <w:basedOn w:val="a"/>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0022F"/>
  </w:style>
  <w:style w:type="paragraph" w:customStyle="1" w:styleId="rvps6">
    <w:name w:val="rvps6"/>
    <w:basedOn w:val="a"/>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0022F"/>
  </w:style>
  <w:style w:type="character" w:styleId="a4">
    <w:name w:val="Hyperlink"/>
    <w:basedOn w:val="a0"/>
    <w:uiPriority w:val="99"/>
    <w:semiHidden/>
    <w:unhideWhenUsed/>
    <w:rsid w:val="0020022F"/>
    <w:rPr>
      <w:color w:val="0000FF"/>
      <w:u w:val="single"/>
    </w:rPr>
  </w:style>
  <w:style w:type="paragraph" w:customStyle="1" w:styleId="rvps4">
    <w:name w:val="rvps4"/>
    <w:basedOn w:val="a"/>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0022F"/>
  </w:style>
  <w:style w:type="paragraph" w:customStyle="1" w:styleId="rvps15">
    <w:name w:val="rvps15"/>
    <w:basedOn w:val="a"/>
    <w:rsid w:val="00200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2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275C8"/>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D0109A"/>
    <w:rPr>
      <w:sz w:val="16"/>
      <w:szCs w:val="16"/>
    </w:rPr>
  </w:style>
  <w:style w:type="paragraph" w:styleId="a6">
    <w:name w:val="annotation text"/>
    <w:basedOn w:val="a"/>
    <w:link w:val="a7"/>
    <w:uiPriority w:val="99"/>
    <w:semiHidden/>
    <w:unhideWhenUsed/>
    <w:rsid w:val="00D0109A"/>
    <w:pPr>
      <w:spacing w:line="240" w:lineRule="auto"/>
    </w:pPr>
    <w:rPr>
      <w:sz w:val="20"/>
      <w:szCs w:val="20"/>
    </w:rPr>
  </w:style>
  <w:style w:type="character" w:customStyle="1" w:styleId="a7">
    <w:name w:val="Текст примечания Знак"/>
    <w:basedOn w:val="a0"/>
    <w:link w:val="a6"/>
    <w:uiPriority w:val="99"/>
    <w:semiHidden/>
    <w:rsid w:val="00D0109A"/>
    <w:rPr>
      <w:sz w:val="20"/>
      <w:szCs w:val="20"/>
    </w:rPr>
  </w:style>
  <w:style w:type="paragraph" w:styleId="a8">
    <w:name w:val="annotation subject"/>
    <w:basedOn w:val="a6"/>
    <w:next w:val="a6"/>
    <w:link w:val="a9"/>
    <w:uiPriority w:val="99"/>
    <w:semiHidden/>
    <w:unhideWhenUsed/>
    <w:rsid w:val="00D0109A"/>
    <w:rPr>
      <w:b/>
      <w:bCs/>
    </w:rPr>
  </w:style>
  <w:style w:type="character" w:customStyle="1" w:styleId="a9">
    <w:name w:val="Тема примечания Знак"/>
    <w:basedOn w:val="a7"/>
    <w:link w:val="a8"/>
    <w:uiPriority w:val="99"/>
    <w:semiHidden/>
    <w:rsid w:val="00D0109A"/>
    <w:rPr>
      <w:b/>
      <w:bCs/>
      <w:sz w:val="20"/>
      <w:szCs w:val="20"/>
    </w:rPr>
  </w:style>
  <w:style w:type="paragraph" w:styleId="aa">
    <w:name w:val="Balloon Text"/>
    <w:basedOn w:val="a"/>
    <w:link w:val="ab"/>
    <w:uiPriority w:val="99"/>
    <w:semiHidden/>
    <w:unhideWhenUsed/>
    <w:rsid w:val="00D010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0109A"/>
    <w:rPr>
      <w:rFonts w:ascii="Segoe UI" w:hAnsi="Segoe UI" w:cs="Segoe UI"/>
      <w:sz w:val="18"/>
      <w:szCs w:val="18"/>
    </w:rPr>
  </w:style>
  <w:style w:type="table" w:styleId="ac">
    <w:name w:val="Table Grid"/>
    <w:basedOn w:val="a1"/>
    <w:uiPriority w:val="39"/>
    <w:rsid w:val="008A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F23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0"/>
    <w:uiPriority w:val="99"/>
    <w:semiHidden/>
    <w:rsid w:val="00476310"/>
    <w:rPr>
      <w:color w:val="808080"/>
    </w:rPr>
  </w:style>
  <w:style w:type="paragraph" w:styleId="af">
    <w:name w:val="header"/>
    <w:basedOn w:val="a"/>
    <w:link w:val="af0"/>
    <w:uiPriority w:val="99"/>
    <w:unhideWhenUsed/>
    <w:rsid w:val="008F25E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8F25EC"/>
  </w:style>
  <w:style w:type="paragraph" w:styleId="af1">
    <w:name w:val="footer"/>
    <w:basedOn w:val="a"/>
    <w:link w:val="af2"/>
    <w:uiPriority w:val="99"/>
    <w:unhideWhenUsed/>
    <w:rsid w:val="008F25EC"/>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8F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254">
      <w:bodyDiv w:val="1"/>
      <w:marLeft w:val="0"/>
      <w:marRight w:val="0"/>
      <w:marTop w:val="0"/>
      <w:marBottom w:val="0"/>
      <w:divBdr>
        <w:top w:val="none" w:sz="0" w:space="0" w:color="auto"/>
        <w:left w:val="none" w:sz="0" w:space="0" w:color="auto"/>
        <w:bottom w:val="none" w:sz="0" w:space="0" w:color="auto"/>
        <w:right w:val="none" w:sz="0" w:space="0" w:color="auto"/>
      </w:divBdr>
      <w:divsChild>
        <w:div w:id="732121140">
          <w:marLeft w:val="0"/>
          <w:marRight w:val="0"/>
          <w:marTop w:val="0"/>
          <w:marBottom w:val="150"/>
          <w:divBdr>
            <w:top w:val="none" w:sz="0" w:space="0" w:color="auto"/>
            <w:left w:val="none" w:sz="0" w:space="0" w:color="auto"/>
            <w:bottom w:val="none" w:sz="0" w:space="0" w:color="auto"/>
            <w:right w:val="none" w:sz="0" w:space="0" w:color="auto"/>
          </w:divBdr>
        </w:div>
      </w:divsChild>
    </w:div>
    <w:div w:id="145752867">
      <w:bodyDiv w:val="1"/>
      <w:marLeft w:val="0"/>
      <w:marRight w:val="0"/>
      <w:marTop w:val="0"/>
      <w:marBottom w:val="0"/>
      <w:divBdr>
        <w:top w:val="none" w:sz="0" w:space="0" w:color="auto"/>
        <w:left w:val="none" w:sz="0" w:space="0" w:color="auto"/>
        <w:bottom w:val="none" w:sz="0" w:space="0" w:color="auto"/>
        <w:right w:val="none" w:sz="0" w:space="0" w:color="auto"/>
      </w:divBdr>
    </w:div>
    <w:div w:id="158470594">
      <w:bodyDiv w:val="1"/>
      <w:marLeft w:val="0"/>
      <w:marRight w:val="0"/>
      <w:marTop w:val="0"/>
      <w:marBottom w:val="0"/>
      <w:divBdr>
        <w:top w:val="none" w:sz="0" w:space="0" w:color="auto"/>
        <w:left w:val="none" w:sz="0" w:space="0" w:color="auto"/>
        <w:bottom w:val="none" w:sz="0" w:space="0" w:color="auto"/>
        <w:right w:val="none" w:sz="0" w:space="0" w:color="auto"/>
      </w:divBdr>
    </w:div>
    <w:div w:id="352154682">
      <w:bodyDiv w:val="1"/>
      <w:marLeft w:val="0"/>
      <w:marRight w:val="0"/>
      <w:marTop w:val="0"/>
      <w:marBottom w:val="0"/>
      <w:divBdr>
        <w:top w:val="none" w:sz="0" w:space="0" w:color="auto"/>
        <w:left w:val="none" w:sz="0" w:space="0" w:color="auto"/>
        <w:bottom w:val="none" w:sz="0" w:space="0" w:color="auto"/>
        <w:right w:val="none" w:sz="0" w:space="0" w:color="auto"/>
      </w:divBdr>
    </w:div>
    <w:div w:id="378285982">
      <w:bodyDiv w:val="1"/>
      <w:marLeft w:val="0"/>
      <w:marRight w:val="0"/>
      <w:marTop w:val="0"/>
      <w:marBottom w:val="0"/>
      <w:divBdr>
        <w:top w:val="none" w:sz="0" w:space="0" w:color="auto"/>
        <w:left w:val="none" w:sz="0" w:space="0" w:color="auto"/>
        <w:bottom w:val="none" w:sz="0" w:space="0" w:color="auto"/>
        <w:right w:val="none" w:sz="0" w:space="0" w:color="auto"/>
      </w:divBdr>
    </w:div>
    <w:div w:id="572592947">
      <w:bodyDiv w:val="1"/>
      <w:marLeft w:val="0"/>
      <w:marRight w:val="0"/>
      <w:marTop w:val="0"/>
      <w:marBottom w:val="0"/>
      <w:divBdr>
        <w:top w:val="none" w:sz="0" w:space="0" w:color="auto"/>
        <w:left w:val="none" w:sz="0" w:space="0" w:color="auto"/>
        <w:bottom w:val="none" w:sz="0" w:space="0" w:color="auto"/>
        <w:right w:val="none" w:sz="0" w:space="0" w:color="auto"/>
      </w:divBdr>
    </w:div>
    <w:div w:id="578370706">
      <w:bodyDiv w:val="1"/>
      <w:marLeft w:val="0"/>
      <w:marRight w:val="0"/>
      <w:marTop w:val="0"/>
      <w:marBottom w:val="0"/>
      <w:divBdr>
        <w:top w:val="none" w:sz="0" w:space="0" w:color="auto"/>
        <w:left w:val="none" w:sz="0" w:space="0" w:color="auto"/>
        <w:bottom w:val="none" w:sz="0" w:space="0" w:color="auto"/>
        <w:right w:val="none" w:sz="0" w:space="0" w:color="auto"/>
      </w:divBdr>
    </w:div>
    <w:div w:id="611667831">
      <w:bodyDiv w:val="1"/>
      <w:marLeft w:val="0"/>
      <w:marRight w:val="0"/>
      <w:marTop w:val="0"/>
      <w:marBottom w:val="0"/>
      <w:divBdr>
        <w:top w:val="none" w:sz="0" w:space="0" w:color="auto"/>
        <w:left w:val="none" w:sz="0" w:space="0" w:color="auto"/>
        <w:bottom w:val="none" w:sz="0" w:space="0" w:color="auto"/>
        <w:right w:val="none" w:sz="0" w:space="0" w:color="auto"/>
      </w:divBdr>
    </w:div>
    <w:div w:id="748694643">
      <w:bodyDiv w:val="1"/>
      <w:marLeft w:val="0"/>
      <w:marRight w:val="0"/>
      <w:marTop w:val="0"/>
      <w:marBottom w:val="0"/>
      <w:divBdr>
        <w:top w:val="none" w:sz="0" w:space="0" w:color="auto"/>
        <w:left w:val="none" w:sz="0" w:space="0" w:color="auto"/>
        <w:bottom w:val="none" w:sz="0" w:space="0" w:color="auto"/>
        <w:right w:val="none" w:sz="0" w:space="0" w:color="auto"/>
      </w:divBdr>
    </w:div>
    <w:div w:id="787119220">
      <w:bodyDiv w:val="1"/>
      <w:marLeft w:val="0"/>
      <w:marRight w:val="0"/>
      <w:marTop w:val="0"/>
      <w:marBottom w:val="0"/>
      <w:divBdr>
        <w:top w:val="none" w:sz="0" w:space="0" w:color="auto"/>
        <w:left w:val="none" w:sz="0" w:space="0" w:color="auto"/>
        <w:bottom w:val="none" w:sz="0" w:space="0" w:color="auto"/>
        <w:right w:val="none" w:sz="0" w:space="0" w:color="auto"/>
      </w:divBdr>
    </w:div>
    <w:div w:id="877352770">
      <w:bodyDiv w:val="1"/>
      <w:marLeft w:val="0"/>
      <w:marRight w:val="0"/>
      <w:marTop w:val="0"/>
      <w:marBottom w:val="0"/>
      <w:divBdr>
        <w:top w:val="none" w:sz="0" w:space="0" w:color="auto"/>
        <w:left w:val="none" w:sz="0" w:space="0" w:color="auto"/>
        <w:bottom w:val="none" w:sz="0" w:space="0" w:color="auto"/>
        <w:right w:val="none" w:sz="0" w:space="0" w:color="auto"/>
      </w:divBdr>
      <w:divsChild>
        <w:div w:id="1805655895">
          <w:marLeft w:val="0"/>
          <w:marRight w:val="0"/>
          <w:marTop w:val="0"/>
          <w:marBottom w:val="150"/>
          <w:divBdr>
            <w:top w:val="none" w:sz="0" w:space="0" w:color="auto"/>
            <w:left w:val="none" w:sz="0" w:space="0" w:color="auto"/>
            <w:bottom w:val="none" w:sz="0" w:space="0" w:color="auto"/>
            <w:right w:val="none" w:sz="0" w:space="0" w:color="auto"/>
          </w:divBdr>
        </w:div>
        <w:div w:id="1320617862">
          <w:marLeft w:val="0"/>
          <w:marRight w:val="0"/>
          <w:marTop w:val="0"/>
          <w:marBottom w:val="150"/>
          <w:divBdr>
            <w:top w:val="none" w:sz="0" w:space="0" w:color="auto"/>
            <w:left w:val="none" w:sz="0" w:space="0" w:color="auto"/>
            <w:bottom w:val="none" w:sz="0" w:space="0" w:color="auto"/>
            <w:right w:val="none" w:sz="0" w:space="0" w:color="auto"/>
          </w:divBdr>
        </w:div>
      </w:divsChild>
    </w:div>
    <w:div w:id="1035885040">
      <w:bodyDiv w:val="1"/>
      <w:marLeft w:val="0"/>
      <w:marRight w:val="0"/>
      <w:marTop w:val="0"/>
      <w:marBottom w:val="0"/>
      <w:divBdr>
        <w:top w:val="none" w:sz="0" w:space="0" w:color="auto"/>
        <w:left w:val="none" w:sz="0" w:space="0" w:color="auto"/>
        <w:bottom w:val="none" w:sz="0" w:space="0" w:color="auto"/>
        <w:right w:val="none" w:sz="0" w:space="0" w:color="auto"/>
      </w:divBdr>
    </w:div>
    <w:div w:id="1103722337">
      <w:bodyDiv w:val="1"/>
      <w:marLeft w:val="0"/>
      <w:marRight w:val="0"/>
      <w:marTop w:val="0"/>
      <w:marBottom w:val="0"/>
      <w:divBdr>
        <w:top w:val="none" w:sz="0" w:space="0" w:color="auto"/>
        <w:left w:val="none" w:sz="0" w:space="0" w:color="auto"/>
        <w:bottom w:val="none" w:sz="0" w:space="0" w:color="auto"/>
        <w:right w:val="none" w:sz="0" w:space="0" w:color="auto"/>
      </w:divBdr>
    </w:div>
    <w:div w:id="1122919068">
      <w:bodyDiv w:val="1"/>
      <w:marLeft w:val="0"/>
      <w:marRight w:val="0"/>
      <w:marTop w:val="0"/>
      <w:marBottom w:val="0"/>
      <w:divBdr>
        <w:top w:val="none" w:sz="0" w:space="0" w:color="auto"/>
        <w:left w:val="none" w:sz="0" w:space="0" w:color="auto"/>
        <w:bottom w:val="none" w:sz="0" w:space="0" w:color="auto"/>
        <w:right w:val="none" w:sz="0" w:space="0" w:color="auto"/>
      </w:divBdr>
    </w:div>
    <w:div w:id="1190921579">
      <w:bodyDiv w:val="1"/>
      <w:marLeft w:val="0"/>
      <w:marRight w:val="0"/>
      <w:marTop w:val="0"/>
      <w:marBottom w:val="0"/>
      <w:divBdr>
        <w:top w:val="none" w:sz="0" w:space="0" w:color="auto"/>
        <w:left w:val="none" w:sz="0" w:space="0" w:color="auto"/>
        <w:bottom w:val="none" w:sz="0" w:space="0" w:color="auto"/>
        <w:right w:val="none" w:sz="0" w:space="0" w:color="auto"/>
      </w:divBdr>
    </w:div>
    <w:div w:id="1243367511">
      <w:bodyDiv w:val="1"/>
      <w:marLeft w:val="0"/>
      <w:marRight w:val="0"/>
      <w:marTop w:val="0"/>
      <w:marBottom w:val="0"/>
      <w:divBdr>
        <w:top w:val="none" w:sz="0" w:space="0" w:color="auto"/>
        <w:left w:val="none" w:sz="0" w:space="0" w:color="auto"/>
        <w:bottom w:val="none" w:sz="0" w:space="0" w:color="auto"/>
        <w:right w:val="none" w:sz="0" w:space="0" w:color="auto"/>
      </w:divBdr>
    </w:div>
    <w:div w:id="1300576453">
      <w:bodyDiv w:val="1"/>
      <w:marLeft w:val="0"/>
      <w:marRight w:val="0"/>
      <w:marTop w:val="0"/>
      <w:marBottom w:val="0"/>
      <w:divBdr>
        <w:top w:val="none" w:sz="0" w:space="0" w:color="auto"/>
        <w:left w:val="none" w:sz="0" w:space="0" w:color="auto"/>
        <w:bottom w:val="none" w:sz="0" w:space="0" w:color="auto"/>
        <w:right w:val="none" w:sz="0" w:space="0" w:color="auto"/>
      </w:divBdr>
    </w:div>
    <w:div w:id="1450976420">
      <w:bodyDiv w:val="1"/>
      <w:marLeft w:val="0"/>
      <w:marRight w:val="0"/>
      <w:marTop w:val="0"/>
      <w:marBottom w:val="0"/>
      <w:divBdr>
        <w:top w:val="none" w:sz="0" w:space="0" w:color="auto"/>
        <w:left w:val="none" w:sz="0" w:space="0" w:color="auto"/>
        <w:bottom w:val="none" w:sz="0" w:space="0" w:color="auto"/>
        <w:right w:val="none" w:sz="0" w:space="0" w:color="auto"/>
      </w:divBdr>
    </w:div>
    <w:div w:id="1451628485">
      <w:bodyDiv w:val="1"/>
      <w:marLeft w:val="0"/>
      <w:marRight w:val="0"/>
      <w:marTop w:val="0"/>
      <w:marBottom w:val="0"/>
      <w:divBdr>
        <w:top w:val="none" w:sz="0" w:space="0" w:color="auto"/>
        <w:left w:val="none" w:sz="0" w:space="0" w:color="auto"/>
        <w:bottom w:val="none" w:sz="0" w:space="0" w:color="auto"/>
        <w:right w:val="none" w:sz="0" w:space="0" w:color="auto"/>
      </w:divBdr>
    </w:div>
    <w:div w:id="1620526445">
      <w:bodyDiv w:val="1"/>
      <w:marLeft w:val="0"/>
      <w:marRight w:val="0"/>
      <w:marTop w:val="0"/>
      <w:marBottom w:val="0"/>
      <w:divBdr>
        <w:top w:val="none" w:sz="0" w:space="0" w:color="auto"/>
        <w:left w:val="none" w:sz="0" w:space="0" w:color="auto"/>
        <w:bottom w:val="none" w:sz="0" w:space="0" w:color="auto"/>
        <w:right w:val="none" w:sz="0" w:space="0" w:color="auto"/>
      </w:divBdr>
    </w:div>
    <w:div w:id="1635911570">
      <w:bodyDiv w:val="1"/>
      <w:marLeft w:val="0"/>
      <w:marRight w:val="0"/>
      <w:marTop w:val="0"/>
      <w:marBottom w:val="0"/>
      <w:divBdr>
        <w:top w:val="none" w:sz="0" w:space="0" w:color="auto"/>
        <w:left w:val="none" w:sz="0" w:space="0" w:color="auto"/>
        <w:bottom w:val="none" w:sz="0" w:space="0" w:color="auto"/>
        <w:right w:val="none" w:sz="0" w:space="0" w:color="auto"/>
      </w:divBdr>
    </w:div>
    <w:div w:id="1709715606">
      <w:bodyDiv w:val="1"/>
      <w:marLeft w:val="0"/>
      <w:marRight w:val="0"/>
      <w:marTop w:val="0"/>
      <w:marBottom w:val="0"/>
      <w:divBdr>
        <w:top w:val="none" w:sz="0" w:space="0" w:color="auto"/>
        <w:left w:val="none" w:sz="0" w:space="0" w:color="auto"/>
        <w:bottom w:val="none" w:sz="0" w:space="0" w:color="auto"/>
        <w:right w:val="none" w:sz="0" w:space="0" w:color="auto"/>
      </w:divBdr>
    </w:div>
    <w:div w:id="1776899206">
      <w:bodyDiv w:val="1"/>
      <w:marLeft w:val="0"/>
      <w:marRight w:val="0"/>
      <w:marTop w:val="0"/>
      <w:marBottom w:val="0"/>
      <w:divBdr>
        <w:top w:val="none" w:sz="0" w:space="0" w:color="auto"/>
        <w:left w:val="none" w:sz="0" w:space="0" w:color="auto"/>
        <w:bottom w:val="none" w:sz="0" w:space="0" w:color="auto"/>
        <w:right w:val="none" w:sz="0" w:space="0" w:color="auto"/>
      </w:divBdr>
    </w:div>
    <w:div w:id="1808862037">
      <w:bodyDiv w:val="1"/>
      <w:marLeft w:val="0"/>
      <w:marRight w:val="0"/>
      <w:marTop w:val="0"/>
      <w:marBottom w:val="0"/>
      <w:divBdr>
        <w:top w:val="none" w:sz="0" w:space="0" w:color="auto"/>
        <w:left w:val="none" w:sz="0" w:space="0" w:color="auto"/>
        <w:bottom w:val="none" w:sz="0" w:space="0" w:color="auto"/>
        <w:right w:val="none" w:sz="0" w:space="0" w:color="auto"/>
      </w:divBdr>
    </w:div>
    <w:div w:id="1881242713">
      <w:bodyDiv w:val="1"/>
      <w:marLeft w:val="0"/>
      <w:marRight w:val="0"/>
      <w:marTop w:val="0"/>
      <w:marBottom w:val="0"/>
      <w:divBdr>
        <w:top w:val="none" w:sz="0" w:space="0" w:color="auto"/>
        <w:left w:val="none" w:sz="0" w:space="0" w:color="auto"/>
        <w:bottom w:val="none" w:sz="0" w:space="0" w:color="auto"/>
        <w:right w:val="none" w:sz="0" w:space="0" w:color="auto"/>
      </w:divBdr>
    </w:div>
    <w:div w:id="2020960889">
      <w:bodyDiv w:val="1"/>
      <w:marLeft w:val="0"/>
      <w:marRight w:val="0"/>
      <w:marTop w:val="0"/>
      <w:marBottom w:val="0"/>
      <w:divBdr>
        <w:top w:val="none" w:sz="0" w:space="0" w:color="auto"/>
        <w:left w:val="none" w:sz="0" w:space="0" w:color="auto"/>
        <w:bottom w:val="none" w:sz="0" w:space="0" w:color="auto"/>
        <w:right w:val="none" w:sz="0" w:space="0" w:color="auto"/>
      </w:divBdr>
    </w:div>
    <w:div w:id="2053967028">
      <w:bodyDiv w:val="1"/>
      <w:marLeft w:val="0"/>
      <w:marRight w:val="0"/>
      <w:marTop w:val="0"/>
      <w:marBottom w:val="0"/>
      <w:divBdr>
        <w:top w:val="none" w:sz="0" w:space="0" w:color="auto"/>
        <w:left w:val="none" w:sz="0" w:space="0" w:color="auto"/>
        <w:bottom w:val="none" w:sz="0" w:space="0" w:color="auto"/>
        <w:right w:val="none" w:sz="0" w:space="0" w:color="auto"/>
      </w:divBdr>
    </w:div>
    <w:div w:id="20828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5833-D9AB-4D3E-BFE5-60826D4B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18515</Words>
  <Characters>10554</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Pinchuk</dc:creator>
  <cp:keywords/>
  <dc:description/>
  <cp:lastModifiedBy>Serhiy Glushchenko</cp:lastModifiedBy>
  <cp:revision>3</cp:revision>
  <dcterms:created xsi:type="dcterms:W3CDTF">2017-07-01T17:59:00Z</dcterms:created>
  <dcterms:modified xsi:type="dcterms:W3CDTF">2017-07-01T18:00:00Z</dcterms:modified>
</cp:coreProperties>
</file>