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A12" w:rsidRPr="00E876DE" w:rsidRDefault="00463A12" w:rsidP="00463A12">
      <w:pPr>
        <w:ind w:left="7788" w:firstLine="708"/>
        <w:rPr>
          <w:rFonts w:ascii="Times New Roman" w:hAnsi="Times New Roman" w:cs="Times New Roman"/>
          <w:i/>
          <w:sz w:val="28"/>
          <w:szCs w:val="28"/>
        </w:rPr>
      </w:pPr>
      <w:r w:rsidRPr="00E876DE">
        <w:rPr>
          <w:rFonts w:ascii="Times New Roman" w:hAnsi="Times New Roman" w:cs="Times New Roman"/>
          <w:i/>
          <w:sz w:val="28"/>
          <w:szCs w:val="28"/>
        </w:rPr>
        <w:t>Проект</w:t>
      </w:r>
    </w:p>
    <w:p w:rsidR="00463A12" w:rsidRPr="00E876DE" w:rsidRDefault="00463A12" w:rsidP="00463A12">
      <w:pPr>
        <w:jc w:val="center"/>
        <w:rPr>
          <w:rFonts w:ascii="Times New Roman" w:hAnsi="Times New Roman" w:cs="Times New Roman"/>
          <w:sz w:val="28"/>
          <w:szCs w:val="28"/>
        </w:rPr>
      </w:pPr>
      <w:r w:rsidRPr="00E876DE">
        <w:rPr>
          <w:noProof/>
          <w:lang w:eastAsia="uk-UA"/>
        </w:rPr>
        <w:drawing>
          <wp:inline distT="0" distB="0" distL="0" distR="0" wp14:anchorId="03F84E51" wp14:editId="67E13AFC">
            <wp:extent cx="838200" cy="1117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8200" cy="1117600"/>
                    </a:xfrm>
                    <a:prstGeom prst="rect">
                      <a:avLst/>
                    </a:prstGeom>
                  </pic:spPr>
                </pic:pic>
              </a:graphicData>
            </a:graphic>
          </wp:inline>
        </w:drawing>
      </w:r>
    </w:p>
    <w:p w:rsidR="00463A12" w:rsidRDefault="00463A12" w:rsidP="00463A12">
      <w:pPr>
        <w:pStyle w:val="2"/>
        <w:jc w:val="center"/>
        <w:rPr>
          <w:rFonts w:eastAsia="Times New Roman"/>
          <w:lang w:val="uk-UA"/>
        </w:rPr>
      </w:pPr>
      <w:bookmarkStart w:id="0" w:name="_GoBack"/>
      <w:bookmarkEnd w:id="0"/>
      <w:r w:rsidRPr="00E94FF4">
        <w:rPr>
          <w:rFonts w:eastAsia="Times New Roman"/>
          <w:lang w:val="uk-UA"/>
        </w:rPr>
        <w:t xml:space="preserve">МІНІСТЕРСТВО </w:t>
      </w:r>
      <w:r>
        <w:rPr>
          <w:rFonts w:eastAsia="Times New Roman"/>
          <w:lang w:val="uk-UA"/>
        </w:rPr>
        <w:t>РЕГІОНАЛЬНОГО РОЗВИТКУ</w:t>
      </w:r>
      <w:r w:rsidRPr="00487B97">
        <w:rPr>
          <w:rFonts w:eastAsia="Times New Roman"/>
          <w:lang w:val="uk-UA"/>
        </w:rPr>
        <w:t xml:space="preserve">, </w:t>
      </w:r>
      <w:r>
        <w:rPr>
          <w:rFonts w:eastAsia="Times New Roman"/>
          <w:lang w:val="uk-UA"/>
        </w:rPr>
        <w:t>БУДІВНИЦТВА ТА ЖИТЛОВО-КОМУНАЛЬНОГО ГОСПОДАРСТВА</w:t>
      </w:r>
      <w:r w:rsidRPr="00487B97">
        <w:rPr>
          <w:rFonts w:eastAsia="Times New Roman"/>
          <w:lang w:val="uk-UA"/>
        </w:rPr>
        <w:t xml:space="preserve"> </w:t>
      </w:r>
      <w:r w:rsidRPr="00E94FF4">
        <w:rPr>
          <w:rFonts w:eastAsia="Times New Roman"/>
          <w:lang w:val="uk-UA"/>
        </w:rPr>
        <w:t>УКРАЇНИ</w:t>
      </w:r>
    </w:p>
    <w:p w:rsidR="00463A12" w:rsidRPr="00E876DE" w:rsidRDefault="00463A12" w:rsidP="00463A12">
      <w:pPr>
        <w:pStyle w:val="2"/>
        <w:jc w:val="center"/>
        <w:rPr>
          <w:rFonts w:eastAsia="Times New Roman"/>
          <w:lang w:val="uk-UA"/>
        </w:rPr>
      </w:pPr>
      <w:r w:rsidRPr="00E94FF4">
        <w:rPr>
          <w:rFonts w:eastAsia="Times New Roman"/>
          <w:lang w:val="uk-UA"/>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463A12" w:rsidRPr="00E876DE" w:rsidTr="005D3154">
        <w:trPr>
          <w:tblCellSpacing w:w="22" w:type="dxa"/>
        </w:trPr>
        <w:tc>
          <w:tcPr>
            <w:tcW w:w="1750" w:type="pct"/>
            <w:hideMark/>
          </w:tcPr>
          <w:p w:rsidR="00463A12" w:rsidRPr="001B03FB" w:rsidRDefault="00463A12" w:rsidP="005D3154">
            <w:pPr>
              <w:pStyle w:val="a3"/>
              <w:jc w:val="center"/>
              <w:rPr>
                <w:sz w:val="28"/>
                <w:szCs w:val="28"/>
                <w:lang w:val="uk-UA"/>
              </w:rPr>
            </w:pPr>
            <w:r w:rsidRPr="001B03FB">
              <w:rPr>
                <w:b/>
                <w:bCs/>
                <w:sz w:val="28"/>
                <w:szCs w:val="28"/>
                <w:lang w:val="uk-UA"/>
              </w:rPr>
              <w:t>_________</w:t>
            </w:r>
          </w:p>
        </w:tc>
        <w:tc>
          <w:tcPr>
            <w:tcW w:w="1500" w:type="pct"/>
            <w:hideMark/>
          </w:tcPr>
          <w:p w:rsidR="00463A12" w:rsidRPr="001B03FB" w:rsidRDefault="00463A12" w:rsidP="005D3154">
            <w:pPr>
              <w:pStyle w:val="a3"/>
              <w:jc w:val="center"/>
              <w:rPr>
                <w:sz w:val="28"/>
                <w:szCs w:val="28"/>
                <w:lang w:val="uk-UA"/>
              </w:rPr>
            </w:pPr>
            <w:r w:rsidRPr="001B03FB">
              <w:rPr>
                <w:b/>
                <w:bCs/>
                <w:sz w:val="28"/>
                <w:szCs w:val="28"/>
                <w:lang w:val="uk-UA"/>
              </w:rPr>
              <w:t>м. Київ</w:t>
            </w:r>
          </w:p>
        </w:tc>
        <w:tc>
          <w:tcPr>
            <w:tcW w:w="1750" w:type="pct"/>
            <w:hideMark/>
          </w:tcPr>
          <w:p w:rsidR="00463A12" w:rsidRPr="001B03FB" w:rsidRDefault="00463A12" w:rsidP="005D3154">
            <w:pPr>
              <w:pStyle w:val="a3"/>
              <w:jc w:val="center"/>
              <w:rPr>
                <w:sz w:val="28"/>
                <w:szCs w:val="28"/>
                <w:lang w:val="uk-UA"/>
              </w:rPr>
            </w:pPr>
            <w:r w:rsidRPr="001B03FB">
              <w:rPr>
                <w:b/>
                <w:bCs/>
                <w:sz w:val="28"/>
                <w:szCs w:val="28"/>
                <w:lang w:val="uk-UA"/>
              </w:rPr>
              <w:t>N ______</w:t>
            </w:r>
          </w:p>
        </w:tc>
      </w:tr>
    </w:tbl>
    <w:p w:rsidR="00463A12" w:rsidRPr="00E876DE" w:rsidRDefault="00463A12" w:rsidP="00463A12">
      <w:pPr>
        <w:rPr>
          <w:rFonts w:eastAsia="Times New Roman"/>
        </w:rPr>
      </w:pPr>
      <w:r w:rsidRPr="00E876DE">
        <w:rPr>
          <w:rFonts w:eastAsia="Times New Roman"/>
        </w:rPr>
        <w:br w:type="textWrapping" w:clear="all"/>
      </w:r>
    </w:p>
    <w:p w:rsidR="00463A12" w:rsidRPr="001B03FB" w:rsidRDefault="00463A12" w:rsidP="00463A12">
      <w:pPr>
        <w:pStyle w:val="a3"/>
        <w:jc w:val="center"/>
        <w:rPr>
          <w:sz w:val="28"/>
          <w:szCs w:val="28"/>
          <w:lang w:val="uk-UA"/>
        </w:rPr>
      </w:pPr>
      <w:r w:rsidRPr="001B03FB">
        <w:rPr>
          <w:b/>
          <w:bCs/>
          <w:sz w:val="28"/>
          <w:szCs w:val="28"/>
          <w:lang w:val="uk-UA"/>
        </w:rPr>
        <w:t xml:space="preserve">Зареєстровано в Міністерстві юстиції України </w:t>
      </w:r>
      <w:r w:rsidRPr="001B03FB">
        <w:rPr>
          <w:sz w:val="28"/>
          <w:szCs w:val="28"/>
          <w:lang w:val="uk-UA"/>
        </w:rPr>
        <w:br/>
      </w:r>
      <w:r w:rsidRPr="001B03FB">
        <w:rPr>
          <w:b/>
          <w:bCs/>
          <w:sz w:val="28"/>
          <w:szCs w:val="28"/>
          <w:lang w:val="uk-UA"/>
        </w:rPr>
        <w:t>_______________ за N ____________</w:t>
      </w:r>
    </w:p>
    <w:p w:rsidR="00463A12" w:rsidRPr="00E876DE" w:rsidRDefault="00463A12" w:rsidP="00463A12">
      <w:pPr>
        <w:pStyle w:val="2"/>
        <w:jc w:val="center"/>
        <w:rPr>
          <w:rFonts w:eastAsia="Times New Roman"/>
          <w:lang w:val="uk-UA"/>
        </w:rPr>
      </w:pPr>
      <w:r w:rsidRPr="00E876DE">
        <w:rPr>
          <w:rFonts w:eastAsia="Times New Roman"/>
          <w:lang w:val="uk-UA"/>
        </w:rPr>
        <w:t xml:space="preserve">Про затвердження Методики визначення плати за доступ до елементів інфраструктури </w:t>
      </w:r>
      <w:r w:rsidRPr="00463A12">
        <w:rPr>
          <w:rFonts w:eastAsia="Times New Roman"/>
          <w:lang w:val="uk-UA"/>
        </w:rPr>
        <w:t>об’єкта будівництва</w:t>
      </w:r>
    </w:p>
    <w:p w:rsidR="00463A12" w:rsidRPr="001B03FB" w:rsidRDefault="00463A12" w:rsidP="00463A12">
      <w:pPr>
        <w:pStyle w:val="a3"/>
        <w:jc w:val="both"/>
        <w:rPr>
          <w:sz w:val="28"/>
          <w:szCs w:val="28"/>
          <w:lang w:val="uk-UA"/>
        </w:rPr>
      </w:pPr>
      <w:r w:rsidRPr="001B03FB">
        <w:rPr>
          <w:sz w:val="28"/>
          <w:szCs w:val="28"/>
          <w:lang w:val="uk-UA"/>
        </w:rPr>
        <w:t xml:space="preserve">Відповідно до п. 2 частини першої статті </w:t>
      </w:r>
      <w:r w:rsidRPr="00487B97">
        <w:rPr>
          <w:sz w:val="28"/>
          <w:szCs w:val="28"/>
          <w:lang w:val="uk-UA"/>
        </w:rPr>
        <w:t>7</w:t>
      </w:r>
      <w:r w:rsidRPr="001B03FB">
        <w:rPr>
          <w:sz w:val="28"/>
          <w:szCs w:val="28"/>
          <w:lang w:val="uk-UA"/>
        </w:rPr>
        <w:t xml:space="preserve"> Закону України "Про доступ до об’єктів будівництва, транспорту, електроенергетики з метою розвитку телекомунікаційних мереж", "</w:t>
      </w:r>
      <w:r>
        <w:rPr>
          <w:sz w:val="28"/>
          <w:szCs w:val="28"/>
          <w:lang w:val="uk-UA"/>
        </w:rPr>
        <w:t xml:space="preserve">Положення </w:t>
      </w:r>
      <w:r w:rsidRPr="00487B97">
        <w:rPr>
          <w:sz w:val="28"/>
          <w:szCs w:val="28"/>
          <w:lang w:val="uk-UA"/>
        </w:rPr>
        <w:t>про Міністерство регіонального розвитку, будівництва та житлово-комунального господарства України</w:t>
      </w:r>
      <w:r w:rsidRPr="001B03FB">
        <w:rPr>
          <w:sz w:val="28"/>
          <w:szCs w:val="28"/>
          <w:lang w:val="uk-UA"/>
        </w:rPr>
        <w:t>",</w:t>
      </w:r>
      <w:r>
        <w:rPr>
          <w:sz w:val="28"/>
          <w:szCs w:val="28"/>
          <w:lang w:val="uk-UA"/>
        </w:rPr>
        <w:t xml:space="preserve"> затвердженого </w:t>
      </w:r>
      <w:r w:rsidRPr="00487B97">
        <w:rPr>
          <w:sz w:val="28"/>
          <w:szCs w:val="28"/>
          <w:lang w:val="uk-UA"/>
        </w:rPr>
        <w:t>постановою Кабінету Міністрів України від 30 квітня 2014 р. № 197</w:t>
      </w:r>
      <w:r>
        <w:rPr>
          <w:sz w:val="28"/>
          <w:szCs w:val="28"/>
          <w:lang w:val="uk-UA"/>
        </w:rPr>
        <w:t>,</w:t>
      </w:r>
    </w:p>
    <w:p w:rsidR="00463A12" w:rsidRPr="001B03FB" w:rsidRDefault="00463A12" w:rsidP="00463A12">
      <w:pPr>
        <w:pStyle w:val="a3"/>
        <w:jc w:val="both"/>
        <w:rPr>
          <w:sz w:val="28"/>
          <w:szCs w:val="28"/>
          <w:lang w:val="uk-UA"/>
        </w:rPr>
      </w:pPr>
      <w:r w:rsidRPr="00E94FF4">
        <w:rPr>
          <w:b/>
          <w:bCs/>
          <w:sz w:val="28"/>
          <w:szCs w:val="28"/>
          <w:lang w:val="uk-UA"/>
        </w:rPr>
        <w:t>НАКАЗУЮ</w:t>
      </w:r>
      <w:r w:rsidRPr="001B03FB">
        <w:rPr>
          <w:b/>
          <w:bCs/>
          <w:sz w:val="28"/>
          <w:szCs w:val="28"/>
          <w:lang w:val="uk-UA"/>
        </w:rPr>
        <w:t>:</w:t>
      </w:r>
    </w:p>
    <w:p w:rsidR="00463A12" w:rsidRPr="001B03FB" w:rsidRDefault="00463A12" w:rsidP="00463A12">
      <w:pPr>
        <w:pStyle w:val="a3"/>
        <w:jc w:val="both"/>
        <w:rPr>
          <w:sz w:val="28"/>
          <w:szCs w:val="28"/>
          <w:lang w:val="uk-UA"/>
        </w:rPr>
      </w:pPr>
      <w:r w:rsidRPr="001B03FB">
        <w:rPr>
          <w:sz w:val="28"/>
          <w:szCs w:val="28"/>
          <w:lang w:val="uk-UA"/>
        </w:rPr>
        <w:t xml:space="preserve">1. Затвердити Методику визначення плати за доступ до елементів інфраструктури </w:t>
      </w:r>
      <w:r w:rsidRPr="00463A12">
        <w:rPr>
          <w:sz w:val="28"/>
          <w:szCs w:val="28"/>
          <w:lang w:val="uk-UA"/>
        </w:rPr>
        <w:t>об’єкта будівництва</w:t>
      </w:r>
      <w:r w:rsidRPr="001B03FB">
        <w:rPr>
          <w:sz w:val="28"/>
          <w:szCs w:val="28"/>
          <w:lang w:val="uk-UA"/>
        </w:rPr>
        <w:t>, що додається.</w:t>
      </w:r>
    </w:p>
    <w:p w:rsidR="00463A12" w:rsidRPr="001B03FB" w:rsidRDefault="00463A12" w:rsidP="00463A12">
      <w:pPr>
        <w:pStyle w:val="a3"/>
        <w:jc w:val="both"/>
        <w:rPr>
          <w:sz w:val="28"/>
          <w:szCs w:val="28"/>
          <w:lang w:val="uk-UA"/>
        </w:rPr>
      </w:pPr>
      <w:r>
        <w:rPr>
          <w:sz w:val="28"/>
          <w:szCs w:val="28"/>
          <w:lang w:val="uk-UA"/>
        </w:rPr>
        <w:t>2</w:t>
      </w:r>
      <w:r w:rsidRPr="001B03FB">
        <w:rPr>
          <w:sz w:val="28"/>
          <w:szCs w:val="28"/>
          <w:lang w:val="uk-UA"/>
        </w:rPr>
        <w:t>. Подати це рішення на державну реєстрацію до Міністерства юстиції України.</w:t>
      </w:r>
    </w:p>
    <w:p w:rsidR="00463A12" w:rsidRDefault="00463A12" w:rsidP="00463A12">
      <w:pPr>
        <w:pStyle w:val="a3"/>
        <w:jc w:val="both"/>
        <w:rPr>
          <w:sz w:val="28"/>
          <w:szCs w:val="28"/>
          <w:lang w:val="uk-UA"/>
        </w:rPr>
      </w:pPr>
      <w:r>
        <w:rPr>
          <w:sz w:val="28"/>
          <w:szCs w:val="28"/>
          <w:lang w:val="uk-UA"/>
        </w:rPr>
        <w:t>3</w:t>
      </w:r>
      <w:r w:rsidRPr="001B03FB">
        <w:rPr>
          <w:sz w:val="28"/>
          <w:szCs w:val="28"/>
          <w:lang w:val="uk-UA"/>
        </w:rPr>
        <w:t>. Це</w:t>
      </w:r>
      <w:r>
        <w:rPr>
          <w:sz w:val="28"/>
          <w:szCs w:val="28"/>
          <w:lang w:val="uk-UA"/>
        </w:rPr>
        <w:t>й</w:t>
      </w:r>
      <w:r w:rsidRPr="001B03FB">
        <w:rPr>
          <w:sz w:val="28"/>
          <w:szCs w:val="28"/>
          <w:lang w:val="uk-UA"/>
        </w:rPr>
        <w:t xml:space="preserve"> </w:t>
      </w:r>
      <w:r>
        <w:rPr>
          <w:sz w:val="28"/>
          <w:szCs w:val="28"/>
          <w:lang w:val="uk-UA"/>
        </w:rPr>
        <w:t>наказ</w:t>
      </w:r>
      <w:r w:rsidRPr="001B03FB">
        <w:rPr>
          <w:sz w:val="28"/>
          <w:szCs w:val="28"/>
          <w:lang w:val="uk-UA"/>
        </w:rPr>
        <w:t xml:space="preserve"> набирає чинності з дня його офіційного опублікування.</w:t>
      </w:r>
    </w:p>
    <w:p w:rsidR="00463A12" w:rsidRPr="001B03FB" w:rsidRDefault="00463A12" w:rsidP="00463A12">
      <w:pPr>
        <w:pStyle w:val="a3"/>
        <w:jc w:val="both"/>
        <w:rPr>
          <w:sz w:val="28"/>
          <w:szCs w:val="28"/>
          <w:lang w:val="uk-UA"/>
        </w:rPr>
      </w:pPr>
      <w:r>
        <w:rPr>
          <w:sz w:val="28"/>
          <w:szCs w:val="28"/>
          <w:lang w:val="uk-UA"/>
        </w:rPr>
        <w:t>4</w:t>
      </w:r>
      <w:r w:rsidRPr="00E94FF4">
        <w:rPr>
          <w:sz w:val="28"/>
          <w:szCs w:val="28"/>
          <w:lang w:val="uk-UA"/>
        </w:rPr>
        <w:t>. Контроль за виконанням цього наказу залишаю за собою.</w:t>
      </w:r>
    </w:p>
    <w:p w:rsidR="00463A12" w:rsidRPr="001B03FB" w:rsidRDefault="00463A12" w:rsidP="00463A12">
      <w:pPr>
        <w:pStyle w:val="a3"/>
        <w:jc w:val="both"/>
        <w:rPr>
          <w:sz w:val="28"/>
          <w:szCs w:val="28"/>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463A12" w:rsidRPr="001B03FB" w:rsidTr="005D3154">
        <w:trPr>
          <w:tblCellSpacing w:w="22" w:type="dxa"/>
        </w:trPr>
        <w:tc>
          <w:tcPr>
            <w:tcW w:w="2466" w:type="pct"/>
            <w:hideMark/>
          </w:tcPr>
          <w:p w:rsidR="00463A12" w:rsidRPr="001B03FB" w:rsidRDefault="00463A12" w:rsidP="005D3154">
            <w:pPr>
              <w:pStyle w:val="a3"/>
              <w:jc w:val="center"/>
              <w:rPr>
                <w:b/>
                <w:bCs/>
                <w:sz w:val="28"/>
                <w:szCs w:val="28"/>
                <w:lang w:val="uk-UA"/>
              </w:rPr>
            </w:pPr>
            <w:r>
              <w:rPr>
                <w:b/>
                <w:bCs/>
                <w:sz w:val="28"/>
                <w:szCs w:val="28"/>
                <w:lang w:val="uk-UA"/>
              </w:rPr>
              <w:t>Міністр</w:t>
            </w:r>
          </w:p>
          <w:p w:rsidR="00463A12" w:rsidRPr="001B03FB" w:rsidRDefault="00463A12" w:rsidP="005D3154">
            <w:pPr>
              <w:pStyle w:val="a3"/>
              <w:jc w:val="center"/>
              <w:rPr>
                <w:sz w:val="28"/>
                <w:szCs w:val="28"/>
                <w:lang w:val="uk-UA"/>
              </w:rPr>
            </w:pPr>
          </w:p>
        </w:tc>
        <w:tc>
          <w:tcPr>
            <w:tcW w:w="2466" w:type="pct"/>
            <w:hideMark/>
          </w:tcPr>
          <w:p w:rsidR="00463A12" w:rsidRPr="001B03FB" w:rsidRDefault="00463A12" w:rsidP="005D3154">
            <w:pPr>
              <w:pStyle w:val="a3"/>
              <w:jc w:val="center"/>
              <w:rPr>
                <w:sz w:val="28"/>
                <w:szCs w:val="28"/>
                <w:lang w:val="uk-UA"/>
              </w:rPr>
            </w:pPr>
          </w:p>
        </w:tc>
      </w:tr>
      <w:tr w:rsidR="00463A12" w:rsidRPr="001B03FB" w:rsidTr="005D3154">
        <w:trPr>
          <w:tblCellSpacing w:w="22" w:type="dxa"/>
        </w:trPr>
        <w:tc>
          <w:tcPr>
            <w:tcW w:w="2466" w:type="pct"/>
            <w:hideMark/>
          </w:tcPr>
          <w:p w:rsidR="00463A12" w:rsidRPr="001B03FB" w:rsidRDefault="00463A12" w:rsidP="005D3154">
            <w:pPr>
              <w:pStyle w:val="a3"/>
              <w:jc w:val="center"/>
              <w:rPr>
                <w:sz w:val="28"/>
                <w:szCs w:val="28"/>
                <w:lang w:val="uk-UA"/>
              </w:rPr>
            </w:pPr>
            <w:r w:rsidRPr="001B03FB">
              <w:rPr>
                <w:b/>
                <w:bCs/>
                <w:sz w:val="28"/>
                <w:szCs w:val="28"/>
                <w:lang w:val="uk-UA"/>
              </w:rPr>
              <w:t>ПОГОДЖЕНО:</w:t>
            </w:r>
          </w:p>
        </w:tc>
        <w:tc>
          <w:tcPr>
            <w:tcW w:w="2466" w:type="pct"/>
            <w:hideMark/>
          </w:tcPr>
          <w:p w:rsidR="00463A12" w:rsidRPr="001B03FB" w:rsidRDefault="00463A12" w:rsidP="005D3154">
            <w:pPr>
              <w:pStyle w:val="a3"/>
              <w:jc w:val="center"/>
              <w:rPr>
                <w:sz w:val="28"/>
                <w:szCs w:val="28"/>
                <w:lang w:val="uk-UA"/>
              </w:rPr>
            </w:pPr>
            <w:r w:rsidRPr="001B03FB">
              <w:rPr>
                <w:sz w:val="28"/>
                <w:szCs w:val="28"/>
                <w:lang w:val="uk-UA"/>
              </w:rPr>
              <w:t> </w:t>
            </w:r>
          </w:p>
        </w:tc>
      </w:tr>
      <w:tr w:rsidR="00463A12" w:rsidRPr="001B03FB" w:rsidTr="005D3154">
        <w:trPr>
          <w:tblCellSpacing w:w="22" w:type="dxa"/>
        </w:trPr>
        <w:tc>
          <w:tcPr>
            <w:tcW w:w="2466" w:type="pct"/>
            <w:vAlign w:val="bottom"/>
            <w:hideMark/>
          </w:tcPr>
          <w:p w:rsidR="00463A12" w:rsidRPr="001B03FB" w:rsidRDefault="00463A12" w:rsidP="005D3154">
            <w:pPr>
              <w:pStyle w:val="a3"/>
              <w:jc w:val="center"/>
              <w:rPr>
                <w:sz w:val="28"/>
                <w:szCs w:val="28"/>
                <w:lang w:val="uk-UA"/>
              </w:rPr>
            </w:pPr>
            <w:r w:rsidRPr="001B03FB">
              <w:rPr>
                <w:b/>
                <w:bCs/>
                <w:sz w:val="28"/>
                <w:szCs w:val="28"/>
                <w:lang w:val="uk-UA"/>
              </w:rPr>
              <w:t>Голова Національної комісії, що здійснює державне регулювання у сфері зв'язку та інформатизації</w:t>
            </w:r>
          </w:p>
        </w:tc>
        <w:tc>
          <w:tcPr>
            <w:tcW w:w="2466" w:type="pct"/>
            <w:vAlign w:val="bottom"/>
            <w:hideMark/>
          </w:tcPr>
          <w:p w:rsidR="00463A12" w:rsidRPr="001B03FB" w:rsidRDefault="00463A12" w:rsidP="005D3154">
            <w:pPr>
              <w:pStyle w:val="a3"/>
              <w:jc w:val="center"/>
              <w:rPr>
                <w:sz w:val="28"/>
                <w:szCs w:val="28"/>
                <w:lang w:val="uk-UA"/>
              </w:rPr>
            </w:pPr>
          </w:p>
        </w:tc>
      </w:tr>
    </w:tbl>
    <w:p w:rsidR="00463A12" w:rsidRPr="001B03FB" w:rsidRDefault="00463A12" w:rsidP="00463A12">
      <w:pPr>
        <w:pStyle w:val="a3"/>
        <w:jc w:val="both"/>
        <w:rPr>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463A12" w:rsidRPr="001B03FB" w:rsidTr="005D3154">
        <w:trPr>
          <w:tblCellSpacing w:w="22" w:type="dxa"/>
        </w:trPr>
        <w:tc>
          <w:tcPr>
            <w:tcW w:w="5000" w:type="pct"/>
            <w:hideMark/>
          </w:tcPr>
          <w:p w:rsidR="00463A12" w:rsidRPr="001B03FB" w:rsidRDefault="00463A12" w:rsidP="005D3154">
            <w:pPr>
              <w:pStyle w:val="a3"/>
              <w:rPr>
                <w:sz w:val="28"/>
                <w:szCs w:val="28"/>
                <w:lang w:val="uk-UA"/>
              </w:rPr>
            </w:pPr>
            <w:r w:rsidRPr="001B03FB">
              <w:rPr>
                <w:sz w:val="28"/>
                <w:szCs w:val="28"/>
                <w:lang w:val="uk-UA"/>
              </w:rPr>
              <w:t>ЗАТВЕРДЖЕНО</w:t>
            </w:r>
            <w:r w:rsidRPr="001B03FB">
              <w:rPr>
                <w:sz w:val="28"/>
                <w:szCs w:val="28"/>
                <w:lang w:val="uk-UA"/>
              </w:rPr>
              <w:br/>
            </w:r>
            <w:r>
              <w:rPr>
                <w:sz w:val="28"/>
                <w:szCs w:val="28"/>
                <w:lang w:val="uk-UA"/>
              </w:rPr>
              <w:t>Наказ</w:t>
            </w:r>
            <w:r w:rsidRPr="001B03FB">
              <w:rPr>
                <w:sz w:val="28"/>
                <w:szCs w:val="28"/>
                <w:lang w:val="uk-UA"/>
              </w:rPr>
              <w:t xml:space="preserve"> </w:t>
            </w:r>
            <w:r>
              <w:rPr>
                <w:sz w:val="28"/>
                <w:szCs w:val="28"/>
                <w:lang w:val="uk-UA"/>
              </w:rPr>
              <w:t>Міністерства</w:t>
            </w:r>
            <w:r w:rsidRPr="00E94FF4">
              <w:rPr>
                <w:sz w:val="28"/>
                <w:szCs w:val="28"/>
                <w:lang w:val="uk-UA"/>
              </w:rPr>
              <w:t xml:space="preserve"> </w:t>
            </w:r>
            <w:r w:rsidRPr="00487B97">
              <w:rPr>
                <w:sz w:val="28"/>
                <w:szCs w:val="28"/>
                <w:lang w:val="uk-UA"/>
              </w:rPr>
              <w:t xml:space="preserve">регіонального розвитку, будівництва та житлово-комунального господарства </w:t>
            </w:r>
            <w:r w:rsidRPr="00E94FF4">
              <w:rPr>
                <w:sz w:val="28"/>
                <w:szCs w:val="28"/>
                <w:lang w:val="uk-UA"/>
              </w:rPr>
              <w:t>України</w:t>
            </w:r>
            <w:r w:rsidRPr="001B03FB">
              <w:rPr>
                <w:sz w:val="28"/>
                <w:szCs w:val="28"/>
                <w:lang w:val="uk-UA"/>
              </w:rPr>
              <w:br/>
              <w:t>____________ N _______</w:t>
            </w:r>
            <w:r w:rsidRPr="001B03FB">
              <w:rPr>
                <w:sz w:val="28"/>
                <w:szCs w:val="28"/>
                <w:lang w:val="uk-UA"/>
              </w:rPr>
              <w:br/>
              <w:t>Зареєстровано</w:t>
            </w:r>
            <w:r w:rsidRPr="001B03FB">
              <w:rPr>
                <w:sz w:val="28"/>
                <w:szCs w:val="28"/>
                <w:lang w:val="uk-UA"/>
              </w:rPr>
              <w:br/>
              <w:t>в Міністерстві юстиції України</w:t>
            </w:r>
            <w:r w:rsidRPr="001B03FB">
              <w:rPr>
                <w:sz w:val="28"/>
                <w:szCs w:val="28"/>
                <w:lang w:val="uk-UA"/>
              </w:rPr>
              <w:br/>
              <w:t>____________ за N ________</w:t>
            </w:r>
          </w:p>
        </w:tc>
      </w:tr>
    </w:tbl>
    <w:p w:rsidR="00463A12" w:rsidRPr="001B03FB" w:rsidRDefault="00463A12" w:rsidP="00463A12">
      <w:pPr>
        <w:pStyle w:val="a3"/>
        <w:jc w:val="both"/>
        <w:rPr>
          <w:sz w:val="28"/>
          <w:szCs w:val="28"/>
          <w:lang w:val="uk-UA"/>
        </w:rPr>
      </w:pPr>
      <w:r w:rsidRPr="001B03FB">
        <w:rPr>
          <w:sz w:val="28"/>
          <w:szCs w:val="28"/>
          <w:lang w:val="uk-UA"/>
        </w:rPr>
        <w:br w:type="textWrapping" w:clear="all"/>
      </w:r>
    </w:p>
    <w:p w:rsidR="00463A12" w:rsidRDefault="00463A12" w:rsidP="00610363">
      <w:pPr>
        <w:jc w:val="center"/>
        <w:rPr>
          <w:rFonts w:ascii="Times New Roman" w:hAnsi="Times New Roman" w:cs="Times New Roman"/>
          <w:b/>
          <w:sz w:val="28"/>
          <w:szCs w:val="28"/>
        </w:rPr>
      </w:pPr>
    </w:p>
    <w:p w:rsidR="00463A12" w:rsidRDefault="00463A12" w:rsidP="00610363">
      <w:pPr>
        <w:jc w:val="center"/>
        <w:rPr>
          <w:rFonts w:ascii="Times New Roman" w:hAnsi="Times New Roman" w:cs="Times New Roman"/>
          <w:b/>
          <w:sz w:val="28"/>
          <w:szCs w:val="28"/>
        </w:rPr>
      </w:pPr>
    </w:p>
    <w:p w:rsidR="00463A12" w:rsidRDefault="00463A12" w:rsidP="00610363">
      <w:pPr>
        <w:jc w:val="center"/>
        <w:rPr>
          <w:rFonts w:ascii="Times New Roman" w:hAnsi="Times New Roman" w:cs="Times New Roman"/>
          <w:b/>
          <w:sz w:val="28"/>
          <w:szCs w:val="28"/>
        </w:rPr>
      </w:pPr>
    </w:p>
    <w:p w:rsidR="00610363" w:rsidRPr="00610363" w:rsidRDefault="00610363" w:rsidP="00610363">
      <w:pPr>
        <w:jc w:val="center"/>
        <w:rPr>
          <w:rFonts w:ascii="Times New Roman" w:hAnsi="Times New Roman" w:cs="Times New Roman"/>
          <w:b/>
          <w:sz w:val="28"/>
          <w:szCs w:val="28"/>
        </w:rPr>
      </w:pPr>
      <w:r w:rsidRPr="00610363">
        <w:rPr>
          <w:rFonts w:ascii="Times New Roman" w:hAnsi="Times New Roman" w:cs="Times New Roman"/>
          <w:b/>
          <w:sz w:val="28"/>
          <w:szCs w:val="28"/>
        </w:rPr>
        <w:t>МЕТОДИКА</w:t>
      </w:r>
    </w:p>
    <w:p w:rsidR="00610363" w:rsidRPr="00610363" w:rsidRDefault="00610363" w:rsidP="00610363">
      <w:pPr>
        <w:jc w:val="center"/>
        <w:rPr>
          <w:rFonts w:ascii="Times New Roman" w:hAnsi="Times New Roman" w:cs="Times New Roman"/>
          <w:b/>
          <w:sz w:val="28"/>
          <w:szCs w:val="28"/>
        </w:rPr>
      </w:pPr>
      <w:r w:rsidRPr="00610363">
        <w:rPr>
          <w:rFonts w:ascii="Times New Roman" w:hAnsi="Times New Roman" w:cs="Times New Roman"/>
          <w:b/>
          <w:sz w:val="28"/>
          <w:szCs w:val="28"/>
        </w:rPr>
        <w:t>визначення плати за доступ до елементів інфраструктури об’єкта будівництва</w:t>
      </w:r>
    </w:p>
    <w:p w:rsidR="00610363" w:rsidRPr="00610363" w:rsidRDefault="00610363" w:rsidP="00610363">
      <w:pPr>
        <w:rPr>
          <w:rFonts w:ascii="Times New Roman" w:hAnsi="Times New Roman" w:cs="Times New Roman"/>
          <w:sz w:val="28"/>
          <w:szCs w:val="28"/>
        </w:rPr>
      </w:pPr>
    </w:p>
    <w:p w:rsidR="00610434" w:rsidRPr="00610434" w:rsidRDefault="00610434" w:rsidP="00610434">
      <w:pPr>
        <w:rPr>
          <w:rFonts w:ascii="Times New Roman" w:hAnsi="Times New Roman" w:cs="Times New Roman"/>
          <w:sz w:val="28"/>
          <w:szCs w:val="28"/>
        </w:rPr>
      </w:pP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I. Загальні положення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1.1. Ця Методика визначає механізм формування та встановлення розміру плати за доступ до елементів інфраструктури об’єктів будівництва.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1.2. Ця Методика поширюється на власників інфраструктури об’єктів будівництва всіх форм власності.</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1.3. У цій Методиці терміни вживаються у такому значенні:</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економічно обґрунтовані (нормативні) витрати - витрати, розрахунок яких здійснюється з дотриманням вимог стандартів та нормативів;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собівартість надання доступу - економічно обґрунтовані витрати, що пов’язані з наданням доступу до елементів інфраструктури об’єктів будівництва;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lastRenderedPageBreak/>
        <w:t>інші терміни вживаються у значеннях, наведених у Законі України "Про доступ до об’єктів будівництва, транспорту, електроенергетики з метою розвитку телекомунікаційних мереж" (далі – Закон), Законі України "Про телекомунікації", Законі України «Про особливості здійснення права власності у багатоквартирному будинку», Законі України «Про об'єднання співвласників багатоквартирного будинку» та Правилах надання доступу до інфраструктури об’єкта будівництва.</w:t>
      </w: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ІІ. Особливості визначення плати за доступ до елементів інфраструктури об’єкта будівництва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2.1. Плата за доступ до елементів інфраструктури об’єкта будівництва може складатися з одноразової та/або періодичної плати.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2.2. До одноразової плати за доступ належить виключно плата за розроблення та видачу технічних умов з доступу.</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2.3. Періодична плата за доступ може встановлюватись виключно за наявності додаткових витрат власника інфраструктури об’єкта будівництва на утримання елементів інфраструктури об’єкта будівництва, пов’язаних з наданим доступом.</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2.4. Формування плати на надання доступу до елементів інфраструктури об’єкта будівництва здійснюється на основі розрахунку плати, що проводиться, виходячи з планової собівартості надання доступу до елементів інфраструктури об’єкта будівництва.</w:t>
      </w: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ІІІ. Перелік прямих витрат власника інфраструктури об'єкта будівництва, пов'язаних з утриманням елементів інфраструктури об'єкта будівництва, якими користується замовник</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3.1. Витрати, встановлення яких із застосуванням нормативів неможливе, визначаються на підставі  обґрунтованих фактичних додаткових витрат власників (володільців) інфраструктури об’єкта будівництва, які надають доступ до неї.</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3.2. При визначенні планової собівартості плати за доступ враховуються витрати за попередній період та з урахуванням прогнозу підвищення мінімальної заробітної плати в Україні на відповідний період, схваленого Кабінетом Міністрів України.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3.3. До складу економічно обґрунтованих витрат не можуть включатися: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суми безнадійної дебіторської заборгованості та відрахування до резерву сумнівних боргів;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суми неустойки (штраф, пеня);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суми нестачі та втрат від псування цінностей, у тому числі за рішенням суду;</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пов’язані з купівлею-</w:t>
      </w:r>
      <w:proofErr w:type="spellStart"/>
      <w:r w:rsidRPr="00610434">
        <w:rPr>
          <w:rFonts w:ascii="Times New Roman" w:hAnsi="Times New Roman" w:cs="Times New Roman"/>
          <w:sz w:val="28"/>
          <w:szCs w:val="28"/>
        </w:rPr>
        <w:t>продажем</w:t>
      </w:r>
      <w:proofErr w:type="spellEnd"/>
      <w:r w:rsidRPr="00610434">
        <w:rPr>
          <w:rFonts w:ascii="Times New Roman" w:hAnsi="Times New Roman" w:cs="Times New Roman"/>
          <w:sz w:val="28"/>
          <w:szCs w:val="28"/>
        </w:rPr>
        <w:t xml:space="preserve"> іноземної валюти;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lastRenderedPageBreak/>
        <w:t>суми спонсорської та благодійної допомоги;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втрати від знецінення запасів;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на утримання об’єктів соціально - культурного призначення;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на добровільне страхування майна та працівників;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 xml:space="preserve">витрати від списання </w:t>
      </w:r>
      <w:proofErr w:type="spellStart"/>
      <w:r w:rsidRPr="00610434">
        <w:rPr>
          <w:rFonts w:ascii="Times New Roman" w:hAnsi="Times New Roman" w:cs="Times New Roman"/>
          <w:sz w:val="28"/>
          <w:szCs w:val="28"/>
        </w:rPr>
        <w:t>недоамортизованих</w:t>
      </w:r>
      <w:proofErr w:type="spellEnd"/>
      <w:r w:rsidRPr="00610434">
        <w:rPr>
          <w:rFonts w:ascii="Times New Roman" w:hAnsi="Times New Roman" w:cs="Times New Roman"/>
          <w:sz w:val="28"/>
          <w:szCs w:val="28"/>
        </w:rPr>
        <w:t xml:space="preserve"> основних засобів;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вартість реалізованих виробничих запасів;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пов’язані із зменшенням власного капіталу;</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премії та заохочення;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додаткова заробітна плата;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на оперативну оренду основних засобів, інших необоротних активів загальновиробничого призначення;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на вдосконалення технології й організації виробництва;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на службові відрядження;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на утримання основних засобів, інших матеріальних активів загальногосподарського використання, зокрема оперативна оренда, страхування майна, амортизація основних засобів загальногосподарського призначення, ремонт, опалення, освітлення, водопостачання, водовідведення, охорона;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на оплату послуг зв’язку;</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витрати на врегулювання спорів у судах (судовий збір);</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загальновиробничі витрати;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адміністративні витрати.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3.4. Власники інфраструктури об’єкта будівництва на вимогу замовника  повинні надавати інформацію про доходи та витрати на надання доступу до елементів інфраструктури об’єкта будівництва на основі даних первинних документів шляхом розподілу витрат за напрямами діяльності, а також даних, отриманих шляхом калькулювання безпосередньо на місцях проведення робіт.</w:t>
      </w: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ІV. Визначення розміру плати за доступ до елементів інфраструктури об’єкта будівництва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4.1. Розмір одноразової плати за розроблення та видачу технічних умов з доступу розраховується за формулою</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ОП = (</w:t>
      </w:r>
      <w:proofErr w:type="spellStart"/>
      <w:r w:rsidRPr="00610434">
        <w:rPr>
          <w:rFonts w:ascii="Times New Roman" w:hAnsi="Times New Roman" w:cs="Times New Roman"/>
          <w:sz w:val="28"/>
          <w:szCs w:val="28"/>
        </w:rPr>
        <w:t>Сту</w:t>
      </w:r>
      <w:proofErr w:type="spellEnd"/>
      <w:r w:rsidRPr="00610434">
        <w:rPr>
          <w:rFonts w:ascii="Times New Roman" w:hAnsi="Times New Roman" w:cs="Times New Roman"/>
          <w:sz w:val="28"/>
          <w:szCs w:val="28"/>
        </w:rPr>
        <w:t xml:space="preserve"> + П)*</w:t>
      </w:r>
      <w:proofErr w:type="spellStart"/>
      <w:r w:rsidRPr="00610434">
        <w:rPr>
          <w:rFonts w:ascii="Times New Roman" w:hAnsi="Times New Roman" w:cs="Times New Roman"/>
          <w:sz w:val="28"/>
          <w:szCs w:val="28"/>
        </w:rPr>
        <w:t>Кз</w:t>
      </w:r>
      <w:proofErr w:type="spellEnd"/>
      <w:r w:rsidRPr="00610434">
        <w:rPr>
          <w:rFonts w:ascii="Times New Roman" w:hAnsi="Times New Roman" w:cs="Times New Roman"/>
          <w:sz w:val="28"/>
          <w:szCs w:val="28"/>
        </w:rPr>
        <w:t>, де</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ОП – одноразова плата;</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Сту</w:t>
      </w:r>
      <w:proofErr w:type="spellEnd"/>
      <w:r w:rsidRPr="00610434">
        <w:rPr>
          <w:rFonts w:ascii="Times New Roman" w:hAnsi="Times New Roman" w:cs="Times New Roman"/>
          <w:sz w:val="28"/>
          <w:szCs w:val="28"/>
        </w:rPr>
        <w:t xml:space="preserve"> – планова собівартість робіт з розроблення та видачі технічних умов;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lastRenderedPageBreak/>
        <w:t>П – прибуток, який не може перевищувати 5% від собівартості;</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w:t>
      </w:r>
      <w:proofErr w:type="spellEnd"/>
      <w:r w:rsidRPr="00610434">
        <w:rPr>
          <w:rFonts w:ascii="Times New Roman" w:hAnsi="Times New Roman" w:cs="Times New Roman"/>
          <w:sz w:val="28"/>
          <w:szCs w:val="28"/>
        </w:rPr>
        <w:t xml:space="preserve"> – коефіцієнт зниження розміру плати за доступ:</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w:t>
      </w:r>
      <w:proofErr w:type="spellEnd"/>
      <w:r w:rsidRPr="00610434">
        <w:rPr>
          <w:rFonts w:ascii="Times New Roman" w:hAnsi="Times New Roman" w:cs="Times New Roman"/>
          <w:sz w:val="28"/>
          <w:szCs w:val="28"/>
        </w:rPr>
        <w:t xml:space="preserve"> = 0,8 – у разі надання телекомунікаційних послуг у селищах і селах або на депресивних територіях;</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w:t>
      </w:r>
      <w:proofErr w:type="spellEnd"/>
      <w:r w:rsidRPr="00610434">
        <w:rPr>
          <w:rFonts w:ascii="Times New Roman" w:hAnsi="Times New Roman" w:cs="Times New Roman"/>
          <w:sz w:val="28"/>
          <w:szCs w:val="28"/>
        </w:rPr>
        <w:t xml:space="preserve"> = 0,6 – у разі надання виключно загальнодоступних телекомунікаційних послуг;</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w:t>
      </w:r>
      <w:proofErr w:type="spellEnd"/>
      <w:r w:rsidRPr="00610434">
        <w:rPr>
          <w:rFonts w:ascii="Times New Roman" w:hAnsi="Times New Roman" w:cs="Times New Roman"/>
          <w:sz w:val="28"/>
          <w:szCs w:val="28"/>
        </w:rPr>
        <w:t xml:space="preserve"> = 0,4 – у разі надання виключно загальнодоступних телекомунікаційних послуг у селищах і селах або на депресивних територіях;</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w:t>
      </w:r>
      <w:proofErr w:type="spellEnd"/>
      <w:r w:rsidRPr="00610434">
        <w:rPr>
          <w:rFonts w:ascii="Times New Roman" w:hAnsi="Times New Roman" w:cs="Times New Roman"/>
          <w:sz w:val="28"/>
          <w:szCs w:val="28"/>
        </w:rPr>
        <w:t xml:space="preserve"> = 1 – в інших випадках </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4.2. Перелік робіт, що мають бути враховані для визначення розміру одноразової плати за доступ до елементів інфраструктури об’єкта будівництва та можуть включатися до розрахунку собівартості робіт з розроблення та видачі технічних умов, наведено у додатку 1 до цієї Методики.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4.3. Плата за погодження власником інфраструктури об’єкта будівництва (далі – Власник) проектної документації з доступу не стягується.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4.4. Розмір періодичної плати за доступ до елементів інфраструктури об'єктів   будівництва розраховується за формулою</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ПП = (ДВ + П)*</w:t>
      </w:r>
      <w:proofErr w:type="spellStart"/>
      <w:r w:rsidRPr="00610434">
        <w:rPr>
          <w:rFonts w:ascii="Times New Roman" w:hAnsi="Times New Roman" w:cs="Times New Roman"/>
          <w:sz w:val="28"/>
          <w:szCs w:val="28"/>
        </w:rPr>
        <w:t>Кзп</w:t>
      </w:r>
      <w:proofErr w:type="spellEnd"/>
      <w:r w:rsidRPr="00610434">
        <w:rPr>
          <w:rFonts w:ascii="Times New Roman" w:hAnsi="Times New Roman" w:cs="Times New Roman"/>
          <w:sz w:val="28"/>
          <w:szCs w:val="28"/>
        </w:rPr>
        <w:t>, де</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ПП – розмір періодичної плати;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ДВ – сума додаткових витрат на утримання елементів інфраструктури об’єкта будівництва;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П – прибуток, який не може перевищувати 5% від суми додаткових витрат;</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Кзп</w:t>
      </w:r>
      <w:proofErr w:type="spellEnd"/>
      <w:r w:rsidRPr="00610434">
        <w:rPr>
          <w:rFonts w:ascii="Times New Roman" w:hAnsi="Times New Roman" w:cs="Times New Roman"/>
          <w:sz w:val="28"/>
          <w:szCs w:val="28"/>
        </w:rPr>
        <w:t xml:space="preserve"> – коефіцієнт зниження розміру періодичної плати за доступ:</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Кзп</w:t>
      </w:r>
      <w:proofErr w:type="spellEnd"/>
      <w:r w:rsidRPr="00610434">
        <w:rPr>
          <w:rFonts w:ascii="Times New Roman" w:hAnsi="Times New Roman" w:cs="Times New Roman"/>
          <w:sz w:val="28"/>
          <w:szCs w:val="28"/>
        </w:rPr>
        <w:t xml:space="preserve"> = 0,8 – у разі надання телекомунікаційних послуг у селищах і селах або на депресивних територіях;</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Кзп</w:t>
      </w:r>
      <w:proofErr w:type="spellEnd"/>
      <w:r w:rsidRPr="00610434">
        <w:rPr>
          <w:rFonts w:ascii="Times New Roman" w:hAnsi="Times New Roman" w:cs="Times New Roman"/>
          <w:sz w:val="28"/>
          <w:szCs w:val="28"/>
        </w:rPr>
        <w:t xml:space="preserve"> = 0,6 – у разі надання виключно загальнодоступних телекомунікаційних послуг;</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Кзп</w:t>
      </w:r>
      <w:proofErr w:type="spellEnd"/>
      <w:r w:rsidRPr="00610434">
        <w:rPr>
          <w:rFonts w:ascii="Times New Roman" w:hAnsi="Times New Roman" w:cs="Times New Roman"/>
          <w:sz w:val="28"/>
          <w:szCs w:val="28"/>
        </w:rPr>
        <w:t xml:space="preserve"> = 0,4 – у разі надання виключно загальнодоступних телекомунікаційних послуг у селищах і селах або на депресивних територіях;</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Кзп</w:t>
      </w:r>
      <w:proofErr w:type="spellEnd"/>
      <w:r w:rsidRPr="00610434">
        <w:rPr>
          <w:rFonts w:ascii="Times New Roman" w:hAnsi="Times New Roman" w:cs="Times New Roman"/>
          <w:sz w:val="28"/>
          <w:szCs w:val="28"/>
        </w:rPr>
        <w:t xml:space="preserve"> = 1 – в інших випадках</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4.5. Перелік робіт, що мають бути враховані для визначення розміру періодичної плати за доступ до елементів інфраструктури об’єкта будівництва та можуть включатися до розрахунку суми додаткових витрат на утримання елементів інфраструктури об’єкта будівництва, наведено у додатку 2 до цієї Методики.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lastRenderedPageBreak/>
        <w:t xml:space="preserve">4.6. При наданні доступу до елементів інфраструктури об'єктів будівництва одночасно декільком замовникам розмір періодичної плати для кожного замовника </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розраховується за формулою:</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ППз</w:t>
      </w:r>
      <w:proofErr w:type="spellEnd"/>
      <w:r w:rsidRPr="00610434">
        <w:rPr>
          <w:rFonts w:ascii="Times New Roman" w:hAnsi="Times New Roman" w:cs="Times New Roman"/>
          <w:sz w:val="28"/>
          <w:szCs w:val="28"/>
        </w:rPr>
        <w:t xml:space="preserve"> = ПП/N, де</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ППз</w:t>
      </w:r>
      <w:proofErr w:type="spellEnd"/>
      <w:r w:rsidRPr="00610434">
        <w:rPr>
          <w:rFonts w:ascii="Times New Roman" w:hAnsi="Times New Roman" w:cs="Times New Roman"/>
          <w:sz w:val="28"/>
          <w:szCs w:val="28"/>
        </w:rPr>
        <w:t xml:space="preserve"> – розмір періодичної плати для кожного замовника;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ПП – розмір періодичної плати;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N – кількість замовників.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4.7. Якщо власник елементів інфраструктури об'єктів будівництва не веде роздільного обліку витрат або розрахований розмір одноразової та/або періодичної плат перевищує граничної плати, визначеної Законом, ОП та ПП визначаються відповідно до розміру встановленого частиною 7 статті 17 Закону з урахуванням коефіцієнтів зниження та кількості замовників.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4.8. Розмір плати за доступ до елементів інфраструктури об'єкта будівництва визначається власником інфраструктури цього об'єкта будівництва згідно з цією Методикою, і не може перевищувати: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за розроблення та видачу технічних умов з доступу - 50 відсотків мінімальної заробітної плати;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за доступ до елементів інфраструктури об'єкта будівництва (в місяць за будинок) - 2 відсотки розміру мінімальної заробітної плати для будинків до 100 квартир; 3 відсотки розміру мінімальної заробітної плати для будинків від 101 до 160 квартир; 5 відсотків розміру мінімальної заробітної плати для будинків від 161 квартири і вище;</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за доступ до опори зовнішнього освітлення – 0,3 відсотки розміру мінімальної заробітної плати за одну опору.</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4.9. Розмір мінімальної заробітної плати визначається законом станом на 1 січня поточного року.</w:t>
      </w: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V. Механізм визначення плати за транзит кабельних ліній</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5.1. Розмір одноразової плати за розроблення та видачу технічних умов за транзит кабельних ліній розраховується за формулою</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ОПт</w:t>
      </w:r>
      <w:proofErr w:type="spellEnd"/>
      <w:r w:rsidRPr="00610434">
        <w:rPr>
          <w:rFonts w:ascii="Times New Roman" w:hAnsi="Times New Roman" w:cs="Times New Roman"/>
          <w:sz w:val="28"/>
          <w:szCs w:val="28"/>
        </w:rPr>
        <w:t xml:space="preserve"> =ОП*</w:t>
      </w:r>
      <w:proofErr w:type="spellStart"/>
      <w:r w:rsidRPr="00610434">
        <w:rPr>
          <w:rFonts w:ascii="Times New Roman" w:hAnsi="Times New Roman" w:cs="Times New Roman"/>
          <w:sz w:val="28"/>
          <w:szCs w:val="28"/>
        </w:rPr>
        <w:t>Ктр</w:t>
      </w:r>
      <w:proofErr w:type="spellEnd"/>
      <w:r w:rsidRPr="00610434">
        <w:rPr>
          <w:rFonts w:ascii="Times New Roman" w:hAnsi="Times New Roman" w:cs="Times New Roman"/>
          <w:sz w:val="28"/>
          <w:szCs w:val="28"/>
        </w:rPr>
        <w:t>, де</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ОПт</w:t>
      </w:r>
      <w:proofErr w:type="spellEnd"/>
      <w:r w:rsidRPr="00610434">
        <w:rPr>
          <w:rFonts w:ascii="Times New Roman" w:hAnsi="Times New Roman" w:cs="Times New Roman"/>
          <w:sz w:val="28"/>
          <w:szCs w:val="28"/>
        </w:rPr>
        <w:t xml:space="preserve"> – одноразова плата за розроблення та видачу технічних умов за транзит кабельних ліній;</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ОП – одноразова плата за розроблення та видачу технічних умов;</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Ктр</w:t>
      </w:r>
      <w:proofErr w:type="spellEnd"/>
      <w:r w:rsidRPr="00610434">
        <w:rPr>
          <w:rFonts w:ascii="Times New Roman" w:hAnsi="Times New Roman" w:cs="Times New Roman"/>
          <w:sz w:val="28"/>
          <w:szCs w:val="28"/>
        </w:rPr>
        <w:t xml:space="preserve"> = 0,1 – коефіцієнт зниження розміру плати за транзит кабельних ліній.</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lastRenderedPageBreak/>
        <w:t>5.2. Плата за погодження Власником проектної документації з доступу не стягується.</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5.3. Розмір періодичної плати за транзит кабельних ліній розраховується за формулою:</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ППтр</w:t>
      </w:r>
      <w:proofErr w:type="spellEnd"/>
      <w:r w:rsidRPr="00610434">
        <w:rPr>
          <w:rFonts w:ascii="Times New Roman" w:hAnsi="Times New Roman" w:cs="Times New Roman"/>
          <w:sz w:val="28"/>
          <w:szCs w:val="28"/>
        </w:rPr>
        <w:t xml:space="preserve"> = ПП*</w:t>
      </w:r>
      <w:proofErr w:type="spellStart"/>
      <w:r w:rsidRPr="00610434">
        <w:rPr>
          <w:rFonts w:ascii="Times New Roman" w:hAnsi="Times New Roman" w:cs="Times New Roman"/>
          <w:sz w:val="28"/>
          <w:szCs w:val="28"/>
        </w:rPr>
        <w:t>Ктр</w:t>
      </w:r>
      <w:proofErr w:type="spellEnd"/>
      <w:r w:rsidRPr="00610434">
        <w:rPr>
          <w:rFonts w:ascii="Times New Roman" w:hAnsi="Times New Roman" w:cs="Times New Roman"/>
          <w:sz w:val="28"/>
          <w:szCs w:val="28"/>
        </w:rPr>
        <w:t>, де</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ППтр</w:t>
      </w:r>
      <w:proofErr w:type="spellEnd"/>
      <w:r w:rsidRPr="00610434">
        <w:rPr>
          <w:rFonts w:ascii="Times New Roman" w:hAnsi="Times New Roman" w:cs="Times New Roman"/>
          <w:sz w:val="28"/>
          <w:szCs w:val="28"/>
        </w:rPr>
        <w:t xml:space="preserve"> – розмір періодичної плати за транзит кабельних ліній;</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ПП – розмір періодичної плати;</w:t>
      </w:r>
    </w:p>
    <w:p w:rsidR="00610434" w:rsidRPr="00610434" w:rsidRDefault="00610434" w:rsidP="00610434">
      <w:pPr>
        <w:rPr>
          <w:rFonts w:ascii="Times New Roman" w:hAnsi="Times New Roman" w:cs="Times New Roman"/>
          <w:sz w:val="28"/>
          <w:szCs w:val="28"/>
        </w:rPr>
      </w:pPr>
      <w:proofErr w:type="spellStart"/>
      <w:r w:rsidRPr="00610434">
        <w:rPr>
          <w:rFonts w:ascii="Times New Roman" w:hAnsi="Times New Roman" w:cs="Times New Roman"/>
          <w:sz w:val="28"/>
          <w:szCs w:val="28"/>
        </w:rPr>
        <w:t>Ктр</w:t>
      </w:r>
      <w:proofErr w:type="spellEnd"/>
      <w:r w:rsidRPr="00610434">
        <w:rPr>
          <w:rFonts w:ascii="Times New Roman" w:hAnsi="Times New Roman" w:cs="Times New Roman"/>
          <w:sz w:val="28"/>
          <w:szCs w:val="28"/>
        </w:rPr>
        <w:t xml:space="preserve"> = 0,1 – коефіцієнт зниження розміру періодичної плати за доступ.</w:t>
      </w: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VI. Підстави для перегляду розміру плати за доступ до елементів інфраструктури об’єкта будівництва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6.1. Підставою для зміни розміру плати за доступ до елементів інфраструктури об’єкта будівництва  є зміна мінімального рівня заробітної плати та складових ДВ.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6.2. Підставою для перегляду розміру плати за доступ є зміна кількості замовників доступу до елементів інфраструктури об’єкта будівництва.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6.3. При зміні кількості замовників доступу до елементів інфраструктури об’єкта будівництва, Власник зобов’язаний переглянути розмір плати для всіх замовників доступу до елементів інфраструктури об’єкта будівництва, які використовують одні й ті самі елементи інфраструктури об’єкту доступу, відповідно до пункту 4.6. цієї Методики.</w:t>
      </w: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VII. Строки сплати за доступ до елементів інфраструктури об’єкта будівництва</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7.1. Замовник доступу вносить плату за розробку та видачу технічних умов з доступу протягом 15 (п’ятнадцяти) робочих днів з дня отримання письмової інформації про прийняття рішення власником інфраструктури об’єкта доступу про видачу технічних умов з доступу.</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7.2. Періодична плата за доступ до елементів інфраструктури об'єктів будівництва може сплачуватись щомісячно  відповідно до умов договору з доступу.</w:t>
      </w:r>
    </w:p>
    <w:p w:rsidR="00610434" w:rsidRPr="00610434" w:rsidRDefault="00610434" w:rsidP="00610434">
      <w:pPr>
        <w:rPr>
          <w:rFonts w:ascii="Times New Roman" w:hAnsi="Times New Roman" w:cs="Times New Roman"/>
          <w:sz w:val="28"/>
          <w:szCs w:val="28"/>
        </w:rPr>
      </w:pP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Додаток 1 до Методики визначення плати за доступ до елементів інфраструктури об’єкта будівництва</w:t>
      </w: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ПЕРЕЛІК робіт, що мають бути враховані для визначення розміру одноразової плати за доступ до елементів інфраструктури об’єкта будівництва та можуть включатися до розрахунку собівартості робіт з розроблення та видачі технічних умов</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lastRenderedPageBreak/>
        <w:t>1. Роботи з виявлення наявності вільних елементів інфраструктури об’єкта будівництва, включаючи транспортні витрати.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2. Формування вихідних даних для розроблення замовником проектної документації.</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3. Формування та видача рахунку за технічні умови.</w:t>
      </w: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4. Видача технічних умов з доступу.</w:t>
      </w:r>
    </w:p>
    <w:p w:rsidR="00610434" w:rsidRPr="00610434" w:rsidRDefault="00610434" w:rsidP="00610434">
      <w:pPr>
        <w:rPr>
          <w:rFonts w:ascii="Times New Roman" w:hAnsi="Times New Roman" w:cs="Times New Roman"/>
          <w:sz w:val="28"/>
          <w:szCs w:val="28"/>
        </w:rPr>
      </w:pPr>
    </w:p>
    <w:p w:rsidR="00610434" w:rsidRPr="00610434"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Додаток 2 до Методики визначення плати за доступ до елементів інфраструктури об’єкта будівництва</w:t>
      </w:r>
    </w:p>
    <w:p w:rsidR="00610434" w:rsidRPr="00610434" w:rsidRDefault="00610434" w:rsidP="00610434">
      <w:pPr>
        <w:jc w:val="center"/>
        <w:rPr>
          <w:rFonts w:ascii="Times New Roman" w:hAnsi="Times New Roman" w:cs="Times New Roman"/>
          <w:b/>
          <w:sz w:val="28"/>
          <w:szCs w:val="28"/>
        </w:rPr>
      </w:pPr>
      <w:r w:rsidRPr="00610434">
        <w:rPr>
          <w:rFonts w:ascii="Times New Roman" w:hAnsi="Times New Roman" w:cs="Times New Roman"/>
          <w:b/>
          <w:sz w:val="28"/>
          <w:szCs w:val="28"/>
        </w:rPr>
        <w:t>ПЕРЕЛІК робіт, що мають бути враховані для визначення розміру періодичної плати за доступ до елементів інфраструктури об’єкта будівництва та можуть включатися до розрахунку суми додаткових витрат на утримання елементів інфраструктури об’єкта будівництва</w:t>
      </w:r>
    </w:p>
    <w:p w:rsidR="004541B0" w:rsidRPr="00610363" w:rsidRDefault="00610434" w:rsidP="00610434">
      <w:pPr>
        <w:rPr>
          <w:rFonts w:ascii="Times New Roman" w:hAnsi="Times New Roman" w:cs="Times New Roman"/>
          <w:sz w:val="28"/>
          <w:szCs w:val="28"/>
        </w:rPr>
      </w:pPr>
      <w:r w:rsidRPr="00610434">
        <w:rPr>
          <w:rFonts w:ascii="Times New Roman" w:hAnsi="Times New Roman" w:cs="Times New Roman"/>
          <w:sz w:val="28"/>
          <w:szCs w:val="28"/>
        </w:rPr>
        <w:t>1.</w:t>
      </w:r>
    </w:p>
    <w:sectPr w:rsidR="004541B0" w:rsidRPr="006103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09"/>
    <w:rsid w:val="002E7CE2"/>
    <w:rsid w:val="00440032"/>
    <w:rsid w:val="00463A12"/>
    <w:rsid w:val="00610363"/>
    <w:rsid w:val="00610434"/>
    <w:rsid w:val="00677809"/>
    <w:rsid w:val="00C54D84"/>
    <w:rsid w:val="00D862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92EB"/>
  <w15:chartTrackingRefBased/>
  <w15:docId w15:val="{B5F3D31F-7E12-4B42-9EC6-EF0AD81E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463A12"/>
    <w:pPr>
      <w:spacing w:before="100" w:beforeAutospacing="1" w:after="100" w:afterAutospacing="1" w:line="240" w:lineRule="auto"/>
      <w:outlineLvl w:val="1"/>
    </w:pPr>
    <w:rPr>
      <w:rFonts w:ascii="Times New Roman" w:eastAsiaTheme="minorEastAsia"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3A12"/>
    <w:rPr>
      <w:rFonts w:ascii="Times New Roman" w:eastAsiaTheme="minorEastAsia" w:hAnsi="Times New Roman" w:cs="Times New Roman"/>
      <w:b/>
      <w:bCs/>
      <w:sz w:val="36"/>
      <w:szCs w:val="36"/>
      <w:lang w:val="ru-RU" w:eastAsia="ru-RU"/>
    </w:rPr>
  </w:style>
  <w:style w:type="paragraph" w:styleId="a3">
    <w:name w:val="Normal (Web)"/>
    <w:basedOn w:val="a"/>
    <w:uiPriority w:val="99"/>
    <w:unhideWhenUsed/>
    <w:rsid w:val="00463A12"/>
    <w:pPr>
      <w:spacing w:before="100" w:beforeAutospacing="1" w:after="100" w:afterAutospacing="1"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7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7802</Words>
  <Characters>4448</Characters>
  <Application>Microsoft Office Word</Application>
  <DocSecurity>0</DocSecurity>
  <Lines>37</Lines>
  <Paragraphs>24</Paragraphs>
  <ScaleCrop>false</ScaleCrop>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Glib Schegol</dc:creator>
  <cp:keywords/>
  <dc:description/>
  <cp:lastModifiedBy>Glib Schegol</cp:lastModifiedBy>
  <cp:revision>6</cp:revision>
  <dcterms:created xsi:type="dcterms:W3CDTF">2017-07-25T06:48:00Z</dcterms:created>
  <dcterms:modified xsi:type="dcterms:W3CDTF">2017-08-15T08:03:00Z</dcterms:modified>
</cp:coreProperties>
</file>