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3185" w14:textId="77777777" w:rsidR="00F235B6" w:rsidRPr="00A9036B" w:rsidRDefault="00F235B6" w:rsidP="00CE1562">
      <w:pPr>
        <w:autoSpaceDE w:val="0"/>
        <w:autoSpaceDN w:val="0"/>
        <w:adjustRightInd w:val="0"/>
        <w:ind w:left="-990"/>
        <w:jc w:val="center"/>
        <w:rPr>
          <w:b/>
          <w:bCs/>
          <w:color w:val="2E74B5"/>
          <w:sz w:val="28"/>
          <w:szCs w:val="28"/>
        </w:rPr>
      </w:pPr>
    </w:p>
    <w:p w14:paraId="7CFB8318" w14:textId="77777777" w:rsidR="008043CA" w:rsidRPr="00CB4504" w:rsidRDefault="008043CA" w:rsidP="00CE1562">
      <w:pPr>
        <w:autoSpaceDE w:val="0"/>
        <w:autoSpaceDN w:val="0"/>
        <w:adjustRightInd w:val="0"/>
        <w:ind w:left="-990"/>
        <w:jc w:val="center"/>
        <w:rPr>
          <w:b/>
          <w:bCs/>
          <w:sz w:val="28"/>
          <w:szCs w:val="28"/>
        </w:rPr>
      </w:pPr>
      <w:r w:rsidRPr="00CB4504">
        <w:rPr>
          <w:b/>
          <w:bCs/>
          <w:sz w:val="28"/>
          <w:szCs w:val="28"/>
        </w:rPr>
        <w:t>А</w:t>
      </w:r>
      <w:r w:rsidR="00CF3D2E" w:rsidRPr="00CB4504">
        <w:rPr>
          <w:b/>
          <w:bCs/>
          <w:sz w:val="28"/>
          <w:szCs w:val="28"/>
        </w:rPr>
        <w:t>НАЛІЗ РЕГУЛЯТОРНОГО ВПЛИВУ</w:t>
      </w:r>
    </w:p>
    <w:p w14:paraId="57E1305F" w14:textId="77777777" w:rsidR="00690579" w:rsidRDefault="00E35FB3" w:rsidP="00E35FB3">
      <w:pPr>
        <w:ind w:left="-990"/>
        <w:jc w:val="center"/>
        <w:rPr>
          <w:b/>
          <w:noProof/>
          <w:sz w:val="28"/>
          <w:szCs w:val="28"/>
        </w:rPr>
      </w:pPr>
      <w:r w:rsidRPr="00E35FB3">
        <w:rPr>
          <w:b/>
          <w:noProof/>
          <w:sz w:val="28"/>
          <w:szCs w:val="28"/>
        </w:rPr>
        <w:t xml:space="preserve">до </w:t>
      </w:r>
      <w:bookmarkStart w:id="0" w:name="_Hlk502244952"/>
      <w:r w:rsidRPr="00E35FB3">
        <w:rPr>
          <w:b/>
          <w:noProof/>
          <w:sz w:val="28"/>
          <w:szCs w:val="28"/>
        </w:rPr>
        <w:t xml:space="preserve">проекту Закону України </w:t>
      </w:r>
      <w:bookmarkStart w:id="1" w:name="_Hlk502666798"/>
      <w:r w:rsidRPr="00E35FB3">
        <w:rPr>
          <w:b/>
          <w:noProof/>
          <w:sz w:val="28"/>
          <w:szCs w:val="28"/>
        </w:rPr>
        <w:t xml:space="preserve">«Про внесення змін до </w:t>
      </w:r>
      <w:r w:rsidR="00CF144A">
        <w:rPr>
          <w:b/>
          <w:noProof/>
          <w:sz w:val="28"/>
          <w:szCs w:val="28"/>
        </w:rPr>
        <w:t>Закону</w:t>
      </w:r>
      <w:r w:rsidRPr="00E35FB3">
        <w:rPr>
          <w:b/>
          <w:noProof/>
          <w:sz w:val="28"/>
          <w:szCs w:val="28"/>
        </w:rPr>
        <w:t xml:space="preserve"> України </w:t>
      </w:r>
      <w:r w:rsidR="00CF144A">
        <w:rPr>
          <w:b/>
          <w:noProof/>
          <w:sz w:val="28"/>
          <w:szCs w:val="28"/>
        </w:rPr>
        <w:t xml:space="preserve">«Про ліцензування видів господарської діяльності» та деяких інших законодавчих актів України </w:t>
      </w:r>
      <w:r w:rsidRPr="00E35FB3">
        <w:rPr>
          <w:b/>
          <w:noProof/>
          <w:sz w:val="28"/>
          <w:szCs w:val="28"/>
        </w:rPr>
        <w:t xml:space="preserve">щодо удосконалення </w:t>
      </w:r>
      <w:r w:rsidR="00CF144A">
        <w:rPr>
          <w:b/>
          <w:noProof/>
          <w:sz w:val="28"/>
          <w:szCs w:val="28"/>
        </w:rPr>
        <w:t>порядку</w:t>
      </w:r>
      <w:r w:rsidRPr="00E35FB3">
        <w:rPr>
          <w:b/>
          <w:noProof/>
          <w:sz w:val="28"/>
          <w:szCs w:val="28"/>
        </w:rPr>
        <w:t xml:space="preserve"> ліцензування»</w:t>
      </w:r>
    </w:p>
    <w:bookmarkEnd w:id="0"/>
    <w:bookmarkEnd w:id="1"/>
    <w:p w14:paraId="750981B4" w14:textId="77777777" w:rsidR="00CF144A" w:rsidRPr="002472F4" w:rsidRDefault="00CF144A" w:rsidP="00E35FB3">
      <w:pPr>
        <w:ind w:left="-990"/>
        <w:jc w:val="center"/>
        <w:rPr>
          <w:bCs/>
          <w:sz w:val="28"/>
          <w:szCs w:val="28"/>
        </w:rPr>
      </w:pPr>
    </w:p>
    <w:p w14:paraId="08C1C464" w14:textId="77777777" w:rsidR="00D11137" w:rsidRDefault="00D11137" w:rsidP="00CE1562">
      <w:pPr>
        <w:numPr>
          <w:ilvl w:val="0"/>
          <w:numId w:val="10"/>
        </w:numPr>
        <w:ind w:left="-990"/>
        <w:jc w:val="center"/>
        <w:rPr>
          <w:b/>
          <w:sz w:val="28"/>
          <w:szCs w:val="28"/>
        </w:rPr>
      </w:pPr>
      <w:r w:rsidRPr="00CB4504">
        <w:rPr>
          <w:b/>
          <w:sz w:val="28"/>
          <w:szCs w:val="28"/>
        </w:rPr>
        <w:t>Визначення проблеми</w:t>
      </w:r>
    </w:p>
    <w:p w14:paraId="0C97D652" w14:textId="77777777" w:rsidR="00CF144A" w:rsidRDefault="00CF144A" w:rsidP="00CF144A">
      <w:pPr>
        <w:ind w:left="-990"/>
        <w:rPr>
          <w:b/>
          <w:sz w:val="28"/>
          <w:szCs w:val="28"/>
        </w:rPr>
      </w:pPr>
    </w:p>
    <w:p w14:paraId="3805BECA" w14:textId="77777777" w:rsidR="00726672" w:rsidRDefault="00726672" w:rsidP="00A86C93">
      <w:pPr>
        <w:pStyle w:val="ae"/>
        <w:spacing w:after="240"/>
        <w:ind w:left="-99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86C93" w:rsidRPr="00A86C93">
        <w:rPr>
          <w:rFonts w:ascii="Times New Roman" w:eastAsia="Times New Roman" w:hAnsi="Times New Roman"/>
          <w:sz w:val="28"/>
          <w:szCs w:val="28"/>
          <w:lang w:eastAsia="ru-RU"/>
        </w:rPr>
        <w:t>рактичне застосування положень Закону України «Про ліцензування видів господарської діяльності»</w:t>
      </w:r>
      <w:r w:rsidR="00C07446">
        <w:rPr>
          <w:rFonts w:ascii="Times New Roman" w:eastAsia="Times New Roman" w:hAnsi="Times New Roman"/>
          <w:sz w:val="28"/>
          <w:szCs w:val="28"/>
          <w:lang w:eastAsia="ru-RU"/>
        </w:rPr>
        <w:t xml:space="preserve"> </w:t>
      </w:r>
      <w:r w:rsidR="00E53DAF">
        <w:rPr>
          <w:rFonts w:ascii="Times New Roman" w:eastAsia="Times New Roman" w:hAnsi="Times New Roman"/>
          <w:sz w:val="28"/>
          <w:szCs w:val="28"/>
          <w:lang w:eastAsia="ru-RU"/>
        </w:rPr>
        <w:t>(далі – Закон про ліцензування)</w:t>
      </w:r>
      <w:r w:rsidR="00A86C93" w:rsidRPr="00A86C93">
        <w:rPr>
          <w:rFonts w:ascii="Times New Roman" w:eastAsia="Times New Roman" w:hAnsi="Times New Roman"/>
          <w:sz w:val="28"/>
          <w:szCs w:val="28"/>
          <w:lang w:eastAsia="ru-RU"/>
        </w:rPr>
        <w:t xml:space="preserve"> виявило не тільки цілу низку проблем, пов’язаних з його імплементацією, а й підтвердило недосконалість використаних в ньому норм та застосованих процедур</w:t>
      </w:r>
      <w:r w:rsidR="00E32D21">
        <w:rPr>
          <w:rFonts w:ascii="Times New Roman" w:eastAsia="Times New Roman" w:hAnsi="Times New Roman"/>
          <w:sz w:val="28"/>
          <w:szCs w:val="28"/>
          <w:lang w:eastAsia="ru-RU"/>
        </w:rPr>
        <w:t>.</w:t>
      </w:r>
      <w:r w:rsidRPr="00726672">
        <w:rPr>
          <w:rFonts w:ascii="Times New Roman" w:eastAsia="Times New Roman" w:hAnsi="Times New Roman"/>
          <w:sz w:val="28"/>
          <w:szCs w:val="28"/>
          <w:lang w:eastAsia="ru-RU"/>
        </w:rPr>
        <w:t xml:space="preserve"> </w:t>
      </w:r>
    </w:p>
    <w:p w14:paraId="4F750B4C" w14:textId="77777777" w:rsidR="00A86C93" w:rsidRPr="00726672" w:rsidRDefault="00726672" w:rsidP="00A86C93">
      <w:pPr>
        <w:pStyle w:val="ae"/>
        <w:spacing w:after="240"/>
        <w:ind w:left="-99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сьогодні, л</w:t>
      </w:r>
      <w:r w:rsidRPr="00355C9A">
        <w:rPr>
          <w:rFonts w:ascii="Times New Roman" w:eastAsia="Times New Roman" w:hAnsi="Times New Roman"/>
          <w:sz w:val="28"/>
          <w:szCs w:val="28"/>
          <w:lang w:eastAsia="ru-RU"/>
        </w:rPr>
        <w:t xml:space="preserve">іцензування </w:t>
      </w:r>
      <w:r>
        <w:rPr>
          <w:rFonts w:ascii="Times New Roman" w:eastAsia="Times New Roman" w:hAnsi="Times New Roman"/>
          <w:sz w:val="28"/>
          <w:szCs w:val="28"/>
          <w:lang w:eastAsia="ru-RU"/>
        </w:rPr>
        <w:t xml:space="preserve">господарської діяльності </w:t>
      </w:r>
      <w:r w:rsidRPr="00355C9A">
        <w:rPr>
          <w:rFonts w:ascii="Times New Roman" w:eastAsia="Times New Roman" w:hAnsi="Times New Roman"/>
          <w:sz w:val="28"/>
          <w:szCs w:val="28"/>
          <w:lang w:eastAsia="ru-RU"/>
        </w:rPr>
        <w:t xml:space="preserve">є одним з найпоширеніших </w:t>
      </w:r>
      <w:r>
        <w:rPr>
          <w:rFonts w:ascii="Times New Roman" w:eastAsia="Times New Roman" w:hAnsi="Times New Roman"/>
          <w:sz w:val="28"/>
          <w:szCs w:val="28"/>
          <w:lang w:eastAsia="ru-RU"/>
        </w:rPr>
        <w:t xml:space="preserve">засобів регулюючого впливу держави на діяльність суб’єктів господарювання та </w:t>
      </w:r>
      <w:r w:rsidRPr="00355C9A">
        <w:rPr>
          <w:rFonts w:ascii="Times New Roman" w:eastAsia="Times New Roman" w:hAnsi="Times New Roman"/>
          <w:sz w:val="28"/>
          <w:szCs w:val="28"/>
          <w:lang w:eastAsia="ru-RU"/>
        </w:rPr>
        <w:t xml:space="preserve">складає майже 27% від </w:t>
      </w:r>
      <w:r w:rsidRPr="00726672">
        <w:rPr>
          <w:rFonts w:ascii="Times New Roman" w:eastAsia="Times New Roman" w:hAnsi="Times New Roman"/>
          <w:sz w:val="28"/>
          <w:szCs w:val="28"/>
          <w:lang w:eastAsia="ru-RU"/>
        </w:rPr>
        <w:t>загального обсягу засобів і механізмів державного регулювання.</w:t>
      </w:r>
    </w:p>
    <w:p w14:paraId="583F3A20" w14:textId="77777777" w:rsidR="00726672" w:rsidRPr="00C7561B" w:rsidRDefault="00355C9A" w:rsidP="00A86C93">
      <w:pPr>
        <w:pStyle w:val="ae"/>
        <w:spacing w:after="240"/>
        <w:ind w:left="-990" w:firstLine="708"/>
        <w:jc w:val="both"/>
        <w:rPr>
          <w:rFonts w:ascii="Times New Roman" w:eastAsia="Times New Roman" w:hAnsi="Times New Roman"/>
          <w:sz w:val="28"/>
          <w:szCs w:val="28"/>
          <w:lang w:val="ru-RU" w:eastAsia="ru-RU"/>
        </w:rPr>
      </w:pPr>
      <w:r w:rsidRPr="00355C9A">
        <w:rPr>
          <w:rFonts w:ascii="Times New Roman" w:eastAsia="Times New Roman" w:hAnsi="Times New Roman"/>
          <w:sz w:val="28"/>
          <w:szCs w:val="28"/>
          <w:lang w:eastAsia="ru-RU"/>
        </w:rPr>
        <w:t xml:space="preserve">Станом на 01 січня 2017 року загальна кількість суб’єктів господарювання (юридичних осіб та фізичних осіб - підприємців), які займаються видами господарської діяльності, що підлягають ліцензуванню, складає </w:t>
      </w:r>
      <w:r w:rsidR="003E54EF">
        <w:rPr>
          <w:rFonts w:ascii="Times New Roman" w:eastAsia="Times New Roman" w:hAnsi="Times New Roman"/>
          <w:sz w:val="28"/>
          <w:szCs w:val="28"/>
          <w:lang w:eastAsia="ru-RU"/>
        </w:rPr>
        <w:t xml:space="preserve">близько </w:t>
      </w:r>
      <w:r w:rsidRPr="00355C9A">
        <w:rPr>
          <w:rFonts w:ascii="Times New Roman" w:eastAsia="Times New Roman" w:hAnsi="Times New Roman"/>
          <w:sz w:val="28"/>
          <w:szCs w:val="28"/>
          <w:lang w:eastAsia="ru-RU"/>
        </w:rPr>
        <w:t>162571</w:t>
      </w:r>
      <w:r w:rsidR="00D37327">
        <w:rPr>
          <w:rStyle w:val="af7"/>
          <w:rFonts w:ascii="Times New Roman" w:eastAsia="Times New Roman" w:hAnsi="Times New Roman"/>
          <w:sz w:val="28"/>
          <w:szCs w:val="28"/>
          <w:lang w:eastAsia="ru-RU"/>
        </w:rPr>
        <w:footnoteReference w:id="1"/>
      </w:r>
      <w:r w:rsidRPr="00355C9A">
        <w:rPr>
          <w:rFonts w:ascii="Times New Roman" w:eastAsia="Times New Roman" w:hAnsi="Times New Roman"/>
          <w:sz w:val="28"/>
          <w:szCs w:val="28"/>
          <w:lang w:eastAsia="ru-RU"/>
        </w:rPr>
        <w:t xml:space="preserve"> осіб</w:t>
      </w:r>
      <w:r w:rsidR="003E54EF">
        <w:rPr>
          <w:rFonts w:ascii="Times New Roman" w:eastAsia="Times New Roman" w:hAnsi="Times New Roman"/>
          <w:sz w:val="28"/>
          <w:szCs w:val="28"/>
          <w:lang w:eastAsia="ru-RU"/>
        </w:rPr>
        <w:t>.</w:t>
      </w:r>
      <w:r w:rsidRPr="00355C9A">
        <w:rPr>
          <w:rFonts w:ascii="Times New Roman" w:eastAsia="Times New Roman" w:hAnsi="Times New Roman"/>
          <w:sz w:val="28"/>
          <w:szCs w:val="28"/>
          <w:lang w:eastAsia="ru-RU"/>
        </w:rPr>
        <w:t xml:space="preserve"> </w:t>
      </w:r>
      <w:r w:rsidRPr="00355C9A">
        <w:rPr>
          <w:rFonts w:ascii="Times New Roman" w:eastAsia="Times New Roman" w:hAnsi="Times New Roman"/>
          <w:sz w:val="28"/>
          <w:szCs w:val="28"/>
          <w:lang w:eastAsia="ru-RU"/>
        </w:rPr>
        <w:br/>
        <w:t xml:space="preserve">Таким чином, ліцензування застосовується до 8,2 % суб’єктів господарювання від загальної кількості зареєстрованих суб’єктів господарювання. </w:t>
      </w:r>
    </w:p>
    <w:p w14:paraId="4D62178E" w14:textId="77777777" w:rsidR="00B07977" w:rsidRPr="0085779A" w:rsidRDefault="00B621B7" w:rsidP="00B621B7">
      <w:pPr>
        <w:pStyle w:val="ae"/>
        <w:spacing w:after="240"/>
        <w:ind w:left="-990" w:firstLine="708"/>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Недосконалість норм та процедур Закону про ліцензування </w:t>
      </w:r>
      <w:r w:rsidRPr="00B621B7">
        <w:rPr>
          <w:rFonts w:ascii="Times New Roman" w:eastAsia="Times New Roman" w:hAnsi="Times New Roman"/>
          <w:sz w:val="28"/>
          <w:szCs w:val="28"/>
          <w:lang w:eastAsia="ru-RU"/>
        </w:rPr>
        <w:t>призводить до значних фінансових витрат здобувачів ліцензій та ліцензіатів</w:t>
      </w:r>
      <w:r>
        <w:rPr>
          <w:rFonts w:ascii="Times New Roman" w:eastAsia="Times New Roman" w:hAnsi="Times New Roman"/>
          <w:sz w:val="28"/>
          <w:szCs w:val="28"/>
          <w:lang w:eastAsia="ru-RU"/>
        </w:rPr>
        <w:t>.</w:t>
      </w:r>
    </w:p>
    <w:p w14:paraId="472E8B8F" w14:textId="77777777" w:rsidR="00CF144A" w:rsidRPr="00CF144A" w:rsidRDefault="00E32D21" w:rsidP="00CF144A">
      <w:pPr>
        <w:pStyle w:val="ae"/>
        <w:spacing w:after="240"/>
        <w:ind w:left="-99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наприклад, з</w:t>
      </w:r>
      <w:r w:rsidRPr="00E32D21">
        <w:rPr>
          <w:rFonts w:ascii="Times New Roman" w:eastAsia="Times New Roman" w:hAnsi="Times New Roman"/>
          <w:sz w:val="28"/>
          <w:szCs w:val="28"/>
          <w:lang w:eastAsia="ru-RU"/>
        </w:rPr>
        <w:t xml:space="preserve">добувачу ліцензії на провадження господарської діяльності з медичної практики(надання стоматологічних послуг) для забезпечення відповідності ліцензійним умовам, необхідно </w:t>
      </w:r>
      <w:r>
        <w:rPr>
          <w:rFonts w:ascii="Times New Roman" w:eastAsia="Times New Roman" w:hAnsi="Times New Roman"/>
          <w:sz w:val="28"/>
          <w:szCs w:val="28"/>
          <w:lang w:eastAsia="ru-RU"/>
        </w:rPr>
        <w:t>витратити близько</w:t>
      </w:r>
      <w:r w:rsidRPr="00E32D21">
        <w:rPr>
          <w:rFonts w:ascii="Times New Roman" w:eastAsia="Times New Roman" w:hAnsi="Times New Roman"/>
          <w:sz w:val="28"/>
          <w:szCs w:val="28"/>
          <w:lang w:eastAsia="ru-RU"/>
        </w:rPr>
        <w:t xml:space="preserve"> 500 000 грн. </w:t>
      </w:r>
      <w:r>
        <w:rPr>
          <w:rFonts w:ascii="Times New Roman" w:eastAsia="Times New Roman" w:hAnsi="Times New Roman"/>
          <w:sz w:val="28"/>
          <w:szCs w:val="28"/>
          <w:lang w:eastAsia="ru-RU"/>
        </w:rPr>
        <w:t xml:space="preserve">на обладнання </w:t>
      </w:r>
      <w:r w:rsidRPr="00E32D21">
        <w:rPr>
          <w:rFonts w:ascii="Times New Roman" w:eastAsia="Times New Roman" w:hAnsi="Times New Roman"/>
          <w:sz w:val="28"/>
          <w:szCs w:val="28"/>
          <w:lang w:eastAsia="ru-RU"/>
        </w:rPr>
        <w:t xml:space="preserve">та близько </w:t>
      </w:r>
      <w:r w:rsidRPr="000266EA">
        <w:rPr>
          <w:rFonts w:ascii="Times New Roman" w:eastAsia="Times New Roman" w:hAnsi="Times New Roman"/>
          <w:sz w:val="28"/>
          <w:szCs w:val="28"/>
          <w:lang w:eastAsia="ru-RU"/>
        </w:rPr>
        <w:t xml:space="preserve">8000 грн </w:t>
      </w:r>
      <w:r w:rsidRPr="00E32D21">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інші </w:t>
      </w:r>
      <w:r w:rsidRPr="00E32D21">
        <w:rPr>
          <w:rFonts w:ascii="Times New Roman" w:eastAsia="Times New Roman" w:hAnsi="Times New Roman"/>
          <w:sz w:val="28"/>
          <w:szCs w:val="28"/>
          <w:lang w:eastAsia="ru-RU"/>
        </w:rPr>
        <w:t>адміністративно-організаційні заходи</w:t>
      </w:r>
      <w:r w:rsidR="004D04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(ознайомлення з вимогами регулювання, підготовка пакету документів для отримання ліцензії, оплата вартості ліцензії тощо). Згідно вимог чинного законодавства, у разі не підтвердження суб’єктом, з будь яких причин, внесення плати за видачу ліцензії, орган ліцензування вправі анулювати дану ліцензію. У такому разі, витрати суб’єкта господарювання на </w:t>
      </w:r>
      <w:r w:rsidR="00161AD6" w:rsidRPr="00161AD6">
        <w:rPr>
          <w:rFonts w:ascii="Times New Roman" w:eastAsia="Times New Roman" w:hAnsi="Times New Roman"/>
          <w:sz w:val="28"/>
          <w:szCs w:val="28"/>
          <w:lang w:eastAsia="ru-RU"/>
        </w:rPr>
        <w:t>адміністративно-орг</w:t>
      </w:r>
      <w:r w:rsidR="00CF144A">
        <w:rPr>
          <w:rFonts w:ascii="Times New Roman" w:eastAsia="Times New Roman" w:hAnsi="Times New Roman"/>
          <w:sz w:val="28"/>
          <w:szCs w:val="28"/>
          <w:lang w:eastAsia="ru-RU"/>
        </w:rPr>
        <w:t>анізаційні заходи збільш</w:t>
      </w:r>
      <w:r w:rsidR="004D04E6">
        <w:rPr>
          <w:rFonts w:ascii="Times New Roman" w:eastAsia="Times New Roman" w:hAnsi="Times New Roman"/>
          <w:sz w:val="28"/>
          <w:szCs w:val="28"/>
          <w:lang w:eastAsia="ru-RU"/>
        </w:rPr>
        <w:t>у</w:t>
      </w:r>
      <w:r w:rsidR="00E55586">
        <w:rPr>
          <w:rFonts w:ascii="Times New Roman" w:eastAsia="Times New Roman" w:hAnsi="Times New Roman"/>
          <w:sz w:val="28"/>
          <w:szCs w:val="28"/>
          <w:lang w:eastAsia="ru-RU"/>
        </w:rPr>
        <w:t>ю</w:t>
      </w:r>
      <w:r w:rsidR="00CF144A">
        <w:rPr>
          <w:rFonts w:ascii="Times New Roman" w:eastAsia="Times New Roman" w:hAnsi="Times New Roman"/>
          <w:sz w:val="28"/>
          <w:szCs w:val="28"/>
          <w:lang w:eastAsia="ru-RU"/>
        </w:rPr>
        <w:t>ться в два рази.</w:t>
      </w:r>
      <w:r w:rsidR="00CF144A" w:rsidRPr="00CF144A">
        <w:rPr>
          <w:rFonts w:ascii="Times New Roman" w:eastAsia="Times New Roman" w:hAnsi="Times New Roman"/>
          <w:sz w:val="28"/>
          <w:szCs w:val="28"/>
          <w:lang w:eastAsia="ru-RU"/>
        </w:rPr>
        <w:t xml:space="preserve"> Застосування такої підстави для анулювання ліцензії є не обґрунтованим, оскільки не сплати за видачу ліцензії не несе загрозу порушення прав, законних інтересів громадян, життю чи здоров’ю людини, навколишньому середовищу тощо. </w:t>
      </w:r>
    </w:p>
    <w:p w14:paraId="5FACD925" w14:textId="2C378E6C" w:rsidR="004D04E6" w:rsidRDefault="00CF144A" w:rsidP="004D04E6">
      <w:pPr>
        <w:pStyle w:val="ae"/>
        <w:spacing w:after="240"/>
        <w:ind w:left="-99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Також, витрати суб’єкта господарювання можуть збільшитися у разі анулювання ліцензії з інших підстав, передбачених Законом</w:t>
      </w:r>
      <w:r w:rsidR="004D04E6">
        <w:rPr>
          <w:rFonts w:ascii="Times New Roman" w:eastAsia="Times New Roman" w:hAnsi="Times New Roman"/>
          <w:sz w:val="28"/>
          <w:szCs w:val="28"/>
          <w:lang w:eastAsia="ru-RU"/>
        </w:rPr>
        <w:t xml:space="preserve"> про ліцензування</w:t>
      </w:r>
      <w:r>
        <w:rPr>
          <w:rFonts w:ascii="Times New Roman" w:eastAsia="Times New Roman" w:hAnsi="Times New Roman"/>
          <w:sz w:val="28"/>
          <w:szCs w:val="28"/>
          <w:lang w:eastAsia="ru-RU"/>
        </w:rPr>
        <w:t xml:space="preserve">, зокрема, </w:t>
      </w:r>
      <w:r w:rsidR="00A62A05">
        <w:rPr>
          <w:rFonts w:ascii="Times New Roman" w:eastAsia="Times New Roman" w:hAnsi="Times New Roman"/>
          <w:sz w:val="28"/>
          <w:szCs w:val="28"/>
          <w:lang w:eastAsia="ru-RU"/>
        </w:rPr>
        <w:t>щодо</w:t>
      </w:r>
      <w:r>
        <w:rPr>
          <w:rFonts w:ascii="Times New Roman" w:eastAsia="Times New Roman" w:hAnsi="Times New Roman"/>
          <w:sz w:val="28"/>
          <w:szCs w:val="28"/>
          <w:lang w:eastAsia="ru-RU"/>
        </w:rPr>
        <w:t xml:space="preserve"> невиконання розпорядження органу ліцензування про усунення порушень ліцензійних умов</w:t>
      </w:r>
      <w:r w:rsidR="004D04E6">
        <w:rPr>
          <w:rFonts w:ascii="Times New Roman" w:eastAsia="Times New Roman" w:hAnsi="Times New Roman"/>
          <w:sz w:val="28"/>
          <w:szCs w:val="28"/>
          <w:lang w:eastAsia="ru-RU"/>
        </w:rPr>
        <w:t xml:space="preserve">, у випадку </w:t>
      </w:r>
      <w:r w:rsidR="00A62A05">
        <w:rPr>
          <w:rFonts w:ascii="Times New Roman" w:eastAsia="Times New Roman" w:hAnsi="Times New Roman"/>
          <w:sz w:val="28"/>
          <w:szCs w:val="28"/>
          <w:lang w:val="ru-RU" w:eastAsia="ru-RU"/>
        </w:rPr>
        <w:t xml:space="preserve">коли порушення не несуть загрозу життю, здоров'ю та навколишньому середовищу, </w:t>
      </w:r>
      <w:r w:rsidR="004D04E6">
        <w:rPr>
          <w:rFonts w:ascii="Times New Roman" w:eastAsia="Times New Roman" w:hAnsi="Times New Roman"/>
          <w:sz w:val="28"/>
          <w:szCs w:val="28"/>
          <w:lang w:eastAsia="ru-RU"/>
        </w:rPr>
        <w:t>було б більш доцільно та економічно-обґрунтовано</w:t>
      </w:r>
      <w:r w:rsidR="004D04E6" w:rsidRPr="004D04E6">
        <w:rPr>
          <w:rFonts w:ascii="Times New Roman" w:eastAsia="Times New Roman" w:hAnsi="Times New Roman"/>
          <w:sz w:val="28"/>
          <w:szCs w:val="28"/>
          <w:lang w:eastAsia="ru-RU"/>
        </w:rPr>
        <w:t xml:space="preserve"> </w:t>
      </w:r>
      <w:r w:rsidR="004D04E6">
        <w:rPr>
          <w:rFonts w:ascii="Times New Roman" w:eastAsia="Times New Roman" w:hAnsi="Times New Roman"/>
          <w:sz w:val="28"/>
          <w:szCs w:val="28"/>
          <w:lang w:eastAsia="ru-RU"/>
        </w:rPr>
        <w:t>застосуван</w:t>
      </w:r>
      <w:r w:rsidR="004D04E6" w:rsidRPr="004D04E6">
        <w:rPr>
          <w:rFonts w:ascii="Times New Roman" w:eastAsia="Times New Roman" w:hAnsi="Times New Roman"/>
          <w:sz w:val="28"/>
          <w:szCs w:val="28"/>
          <w:lang w:eastAsia="ru-RU"/>
        </w:rPr>
        <w:t xml:space="preserve">ня нової більш м’якої адміністративно-господарської санкції у сфері ліцензування, яка б </w:t>
      </w:r>
      <w:r w:rsidR="004D04E6" w:rsidRPr="004D04E6">
        <w:rPr>
          <w:rFonts w:ascii="Times New Roman" w:eastAsia="Times New Roman" w:hAnsi="Times New Roman"/>
          <w:sz w:val="28"/>
          <w:szCs w:val="28"/>
          <w:lang w:eastAsia="ru-RU"/>
        </w:rPr>
        <w:lastRenderedPageBreak/>
        <w:t>відповідала тяжкості порушення, а саме - зупинення органом ліцензування дії ліцензії в повному обсязі або частково.</w:t>
      </w:r>
    </w:p>
    <w:p w14:paraId="05134560" w14:textId="77777777" w:rsidR="00E55586" w:rsidRDefault="00E55586" w:rsidP="004D04E6">
      <w:pPr>
        <w:pStyle w:val="ae"/>
        <w:spacing w:after="240"/>
        <w:ind w:left="-990" w:firstLine="708"/>
        <w:jc w:val="both"/>
        <w:rPr>
          <w:rFonts w:ascii="Times New Roman" w:eastAsia="Times New Roman" w:hAnsi="Times New Roman"/>
          <w:sz w:val="28"/>
          <w:szCs w:val="28"/>
          <w:lang w:eastAsia="ru-RU"/>
        </w:rPr>
      </w:pPr>
    </w:p>
    <w:p w14:paraId="4F591AB0" w14:textId="77777777" w:rsidR="004D04E6" w:rsidRPr="000266EA" w:rsidRDefault="005908D1" w:rsidP="004D04E6">
      <w:pPr>
        <w:pStyle w:val="ae"/>
        <w:spacing w:after="240"/>
        <w:ind w:left="-990" w:firstLine="708"/>
        <w:jc w:val="both"/>
        <w:rPr>
          <w:rFonts w:ascii="Times New Roman" w:eastAsia="Times New Roman" w:hAnsi="Times New Roman"/>
          <w:sz w:val="28"/>
          <w:szCs w:val="28"/>
          <w:lang w:eastAsia="ru-RU"/>
        </w:rPr>
      </w:pPr>
      <w:r w:rsidRPr="000266EA">
        <w:rPr>
          <w:rFonts w:ascii="Times New Roman" w:eastAsia="Times New Roman" w:hAnsi="Times New Roman"/>
          <w:sz w:val="28"/>
          <w:szCs w:val="28"/>
          <w:lang w:eastAsia="ru-RU"/>
        </w:rPr>
        <w:t>Зважаючи на те, що орієнтовна кількість ліцензіатів</w:t>
      </w:r>
      <w:r w:rsidR="000266EA" w:rsidRPr="000266EA">
        <w:rPr>
          <w:rFonts w:ascii="Times New Roman" w:eastAsia="Times New Roman" w:hAnsi="Times New Roman"/>
          <w:sz w:val="28"/>
          <w:szCs w:val="28"/>
          <w:lang w:eastAsia="ru-RU"/>
        </w:rPr>
        <w:t xml:space="preserve"> з різних сфер господарської діяльності,</w:t>
      </w:r>
      <w:r w:rsidRPr="000266EA">
        <w:rPr>
          <w:rFonts w:ascii="Times New Roman" w:eastAsia="Times New Roman" w:hAnsi="Times New Roman"/>
          <w:sz w:val="28"/>
          <w:szCs w:val="28"/>
          <w:lang w:eastAsia="ru-RU"/>
        </w:rPr>
        <w:t xml:space="preserve"> складає </w:t>
      </w:r>
      <w:r w:rsidR="00555BD0" w:rsidRPr="00C7561B">
        <w:rPr>
          <w:rFonts w:ascii="Times New Roman" w:eastAsia="Times New Roman" w:hAnsi="Times New Roman"/>
          <w:sz w:val="28"/>
          <w:szCs w:val="28"/>
          <w:lang w:eastAsia="ru-RU"/>
        </w:rPr>
        <w:t xml:space="preserve">близько </w:t>
      </w:r>
      <w:r w:rsidR="00B621B7" w:rsidRPr="00C7561B">
        <w:rPr>
          <w:rFonts w:ascii="Times New Roman" w:eastAsia="Times New Roman" w:hAnsi="Times New Roman"/>
          <w:sz w:val="28"/>
          <w:szCs w:val="28"/>
          <w:lang w:eastAsia="ru-RU"/>
        </w:rPr>
        <w:t>162571</w:t>
      </w:r>
      <w:r w:rsidR="00555BD0" w:rsidRPr="00C7561B">
        <w:rPr>
          <w:rFonts w:ascii="Times New Roman" w:eastAsia="Times New Roman" w:hAnsi="Times New Roman"/>
          <w:sz w:val="28"/>
          <w:szCs w:val="28"/>
          <w:lang w:eastAsia="ru-RU"/>
        </w:rPr>
        <w:t xml:space="preserve"> суб</w:t>
      </w:r>
      <w:r w:rsidR="000266EA" w:rsidRPr="000266EA">
        <w:rPr>
          <w:rFonts w:ascii="Times New Roman" w:eastAsia="Times New Roman" w:hAnsi="Times New Roman"/>
          <w:sz w:val="28"/>
          <w:szCs w:val="28"/>
          <w:lang w:eastAsia="ru-RU"/>
        </w:rPr>
        <w:t>’єктів, в</w:t>
      </w:r>
      <w:r w:rsidRPr="000266EA">
        <w:rPr>
          <w:rFonts w:ascii="Times New Roman" w:eastAsia="Times New Roman" w:hAnsi="Times New Roman"/>
          <w:sz w:val="28"/>
          <w:szCs w:val="28"/>
          <w:lang w:eastAsia="ru-RU"/>
        </w:rPr>
        <w:t>ідповідно додаткові витрати на адмін</w:t>
      </w:r>
      <w:r w:rsidR="000266EA" w:rsidRPr="000266EA">
        <w:rPr>
          <w:rFonts w:ascii="Times New Roman" w:eastAsia="Times New Roman" w:hAnsi="Times New Roman"/>
          <w:sz w:val="28"/>
          <w:szCs w:val="28"/>
          <w:lang w:eastAsia="ru-RU"/>
        </w:rPr>
        <w:t>істративно</w:t>
      </w:r>
      <w:r w:rsidRPr="000266EA">
        <w:rPr>
          <w:rFonts w:ascii="Times New Roman" w:eastAsia="Times New Roman" w:hAnsi="Times New Roman"/>
          <w:sz w:val="28"/>
          <w:szCs w:val="28"/>
          <w:lang w:eastAsia="ru-RU"/>
        </w:rPr>
        <w:t>-орган</w:t>
      </w:r>
      <w:r w:rsidR="000266EA" w:rsidRPr="000266EA">
        <w:rPr>
          <w:rFonts w:ascii="Times New Roman" w:eastAsia="Times New Roman" w:hAnsi="Times New Roman"/>
          <w:sz w:val="28"/>
          <w:szCs w:val="28"/>
          <w:lang w:eastAsia="ru-RU"/>
        </w:rPr>
        <w:t xml:space="preserve">ізаційні заходи, що виникають у зв’язку з недосконалим регулюванням можуть сягати </w:t>
      </w:r>
      <w:r w:rsidR="002D526E">
        <w:rPr>
          <w:rFonts w:ascii="Times New Roman" w:eastAsia="Times New Roman" w:hAnsi="Times New Roman"/>
          <w:sz w:val="28"/>
          <w:szCs w:val="28"/>
          <w:lang w:eastAsia="ru-RU"/>
        </w:rPr>
        <w:t>більше</w:t>
      </w:r>
      <w:r w:rsidR="000266EA" w:rsidRPr="000266EA">
        <w:rPr>
          <w:rFonts w:ascii="Times New Roman" w:eastAsia="Times New Roman" w:hAnsi="Times New Roman"/>
          <w:sz w:val="28"/>
          <w:szCs w:val="28"/>
          <w:lang w:eastAsia="ru-RU"/>
        </w:rPr>
        <w:t>1 млрд</w:t>
      </w:r>
      <w:r w:rsidR="002D526E">
        <w:rPr>
          <w:rFonts w:ascii="Times New Roman" w:eastAsia="Times New Roman" w:hAnsi="Times New Roman"/>
          <w:sz w:val="28"/>
          <w:szCs w:val="28"/>
          <w:lang w:eastAsia="ru-RU"/>
        </w:rPr>
        <w:t xml:space="preserve">. </w:t>
      </w:r>
      <w:r w:rsidR="000266EA" w:rsidRPr="000266EA">
        <w:rPr>
          <w:rFonts w:ascii="Times New Roman" w:eastAsia="Times New Roman" w:hAnsi="Times New Roman"/>
          <w:sz w:val="28"/>
          <w:szCs w:val="28"/>
          <w:lang w:eastAsia="ru-RU"/>
        </w:rPr>
        <w:t>грн.</w:t>
      </w:r>
      <w:r w:rsidRPr="000266EA">
        <w:rPr>
          <w:rFonts w:ascii="Times New Roman" w:eastAsia="Times New Roman" w:hAnsi="Times New Roman"/>
          <w:sz w:val="28"/>
          <w:szCs w:val="28"/>
          <w:lang w:eastAsia="ru-RU"/>
        </w:rPr>
        <w:t xml:space="preserve"> </w:t>
      </w:r>
      <w:r w:rsidR="002D526E">
        <w:rPr>
          <w:rFonts w:ascii="Times New Roman" w:eastAsia="Times New Roman" w:hAnsi="Times New Roman"/>
          <w:sz w:val="28"/>
          <w:szCs w:val="28"/>
          <w:lang w:eastAsia="ru-RU"/>
        </w:rPr>
        <w:t>в рік.</w:t>
      </w:r>
    </w:p>
    <w:p w14:paraId="2861AF3A" w14:textId="77777777" w:rsidR="000266EA" w:rsidRDefault="000266EA" w:rsidP="004D04E6">
      <w:pPr>
        <w:pStyle w:val="ae"/>
        <w:spacing w:after="240"/>
        <w:ind w:left="-990" w:firstLine="708"/>
        <w:jc w:val="both"/>
        <w:rPr>
          <w:rFonts w:ascii="Times New Roman" w:eastAsia="Times New Roman" w:hAnsi="Times New Roman"/>
          <w:color w:val="FF0000"/>
          <w:sz w:val="28"/>
          <w:szCs w:val="28"/>
          <w:lang w:eastAsia="ru-RU"/>
        </w:rPr>
      </w:pPr>
    </w:p>
    <w:p w14:paraId="468BFD04" w14:textId="77777777" w:rsidR="000266EA" w:rsidRDefault="000D67B7" w:rsidP="004D04E6">
      <w:pPr>
        <w:pStyle w:val="ae"/>
        <w:spacing w:after="240"/>
        <w:ind w:left="-990" w:firstLine="708"/>
        <w:jc w:val="both"/>
        <w:rPr>
          <w:rFonts w:ascii="Times New Roman" w:eastAsia="Times New Roman" w:hAnsi="Times New Roman"/>
          <w:sz w:val="28"/>
          <w:szCs w:val="28"/>
          <w:lang w:eastAsia="ru-RU"/>
        </w:rPr>
      </w:pPr>
      <w:r w:rsidRPr="002D526E">
        <w:rPr>
          <w:rFonts w:ascii="Times New Roman" w:eastAsia="Times New Roman" w:hAnsi="Times New Roman"/>
          <w:sz w:val="28"/>
          <w:szCs w:val="28"/>
          <w:lang w:eastAsia="ru-RU"/>
        </w:rPr>
        <w:t xml:space="preserve">Також, </w:t>
      </w:r>
      <w:r w:rsidR="002D526E" w:rsidRPr="002D526E">
        <w:rPr>
          <w:rFonts w:ascii="Times New Roman" w:eastAsia="Times New Roman" w:hAnsi="Times New Roman"/>
          <w:sz w:val="28"/>
          <w:szCs w:val="28"/>
          <w:lang w:eastAsia="ru-RU"/>
        </w:rPr>
        <w:t xml:space="preserve">органами ліцензування встановлюються додаткові вимоги до порядку ліцензування господарської діяльності, які передбачені іншими законами, якими встановлюються особливості ліцензування для певного виду господарської діяльності відмінні від вимог Закону про ліцензування. Зазначене суперечить принципу визначеному ч.1 статті 3 Закону про ліцензування </w:t>
      </w:r>
      <w:r w:rsidRPr="002D526E">
        <w:rPr>
          <w:rFonts w:ascii="Times New Roman" w:eastAsia="Times New Roman" w:hAnsi="Times New Roman"/>
          <w:sz w:val="28"/>
          <w:szCs w:val="28"/>
          <w:lang w:eastAsia="ru-RU"/>
        </w:rPr>
        <w:t xml:space="preserve">щодо </w:t>
      </w:r>
      <w:r w:rsidR="002D526E" w:rsidRPr="002D526E">
        <w:rPr>
          <w:rFonts w:ascii="Times New Roman" w:eastAsia="Times New Roman" w:hAnsi="Times New Roman"/>
          <w:sz w:val="28"/>
          <w:szCs w:val="28"/>
          <w:lang w:eastAsia="ru-RU"/>
        </w:rPr>
        <w:t xml:space="preserve">визначення вичерпного переліку документів, що додаються до заяви про отримання ліцензії, виходячи з мінімальної кількості таких документів, достатніх лише для підтвердження виконання вимог відповідних ліцензійних умов та призводить до додаткового </w:t>
      </w:r>
      <w:r w:rsidR="006F4D22">
        <w:rPr>
          <w:rFonts w:ascii="Times New Roman" w:eastAsia="Times New Roman" w:hAnsi="Times New Roman"/>
          <w:sz w:val="28"/>
          <w:szCs w:val="28"/>
          <w:lang w:eastAsia="ru-RU"/>
        </w:rPr>
        <w:t xml:space="preserve">фінансового </w:t>
      </w:r>
      <w:r w:rsidR="002D526E" w:rsidRPr="002D526E">
        <w:rPr>
          <w:rFonts w:ascii="Times New Roman" w:eastAsia="Times New Roman" w:hAnsi="Times New Roman"/>
          <w:sz w:val="28"/>
          <w:szCs w:val="28"/>
          <w:lang w:eastAsia="ru-RU"/>
        </w:rPr>
        <w:t>навантаження на бізнес.</w:t>
      </w:r>
    </w:p>
    <w:p w14:paraId="03765E18" w14:textId="77777777" w:rsidR="005C4802" w:rsidRPr="00C7561B" w:rsidRDefault="005C4802" w:rsidP="005C4802">
      <w:pPr>
        <w:pStyle w:val="ae"/>
        <w:spacing w:after="240"/>
        <w:ind w:left="-99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Крім того, Міністерством економічного розвитку і торгівлі України, з метою виявлення проблем у сфері ліцензування було проаналізовано інформацію</w:t>
      </w:r>
      <w:r w:rsidR="00347437" w:rsidRPr="00C7561B">
        <w:rPr>
          <w:rFonts w:ascii="Times New Roman" w:eastAsia="Times New Roman" w:hAnsi="Times New Roman"/>
          <w:sz w:val="28"/>
          <w:szCs w:val="28"/>
          <w:lang w:eastAsia="ru-RU"/>
        </w:rPr>
        <w:t xml:space="preserve"> </w:t>
      </w:r>
      <w:r w:rsidR="00347437">
        <w:rPr>
          <w:rFonts w:ascii="Times New Roman" w:eastAsia="Times New Roman" w:hAnsi="Times New Roman"/>
          <w:sz w:val="28"/>
          <w:szCs w:val="28"/>
          <w:lang w:eastAsia="ru-RU"/>
        </w:rPr>
        <w:t>щодо ліцензування у сфері господарської діяльності</w:t>
      </w:r>
      <w:r>
        <w:rPr>
          <w:rFonts w:ascii="Times New Roman" w:eastAsia="Times New Roman" w:hAnsi="Times New Roman"/>
          <w:sz w:val="28"/>
          <w:szCs w:val="28"/>
          <w:lang w:eastAsia="ru-RU"/>
        </w:rPr>
        <w:t xml:space="preserve">, отриману від органів ліцензування, на виконання доручення </w:t>
      </w:r>
      <w:r w:rsidRPr="005C4802">
        <w:rPr>
          <w:rFonts w:ascii="Times New Roman" w:eastAsia="Times New Roman" w:hAnsi="Times New Roman"/>
          <w:sz w:val="28"/>
          <w:szCs w:val="28"/>
          <w:lang w:eastAsia="ru-RU"/>
        </w:rPr>
        <w:t>Перш</w:t>
      </w:r>
      <w:r>
        <w:rPr>
          <w:rFonts w:ascii="Times New Roman" w:eastAsia="Times New Roman" w:hAnsi="Times New Roman"/>
          <w:sz w:val="28"/>
          <w:szCs w:val="28"/>
          <w:lang w:eastAsia="ru-RU"/>
        </w:rPr>
        <w:t>ого</w:t>
      </w:r>
      <w:r w:rsidRPr="005C4802">
        <w:rPr>
          <w:rFonts w:ascii="Times New Roman" w:eastAsia="Times New Roman" w:hAnsi="Times New Roman"/>
          <w:sz w:val="28"/>
          <w:szCs w:val="28"/>
          <w:lang w:eastAsia="ru-RU"/>
        </w:rPr>
        <w:t xml:space="preserve"> віце-прем'єр-міністр</w:t>
      </w:r>
      <w:r>
        <w:rPr>
          <w:rFonts w:ascii="Times New Roman" w:eastAsia="Times New Roman" w:hAnsi="Times New Roman"/>
          <w:sz w:val="28"/>
          <w:szCs w:val="28"/>
          <w:lang w:eastAsia="ru-RU"/>
        </w:rPr>
        <w:t>а</w:t>
      </w:r>
      <w:r w:rsidRPr="005C4802">
        <w:rPr>
          <w:rFonts w:ascii="Times New Roman" w:eastAsia="Times New Roman" w:hAnsi="Times New Roman"/>
          <w:sz w:val="28"/>
          <w:szCs w:val="28"/>
          <w:lang w:eastAsia="ru-RU"/>
        </w:rPr>
        <w:t xml:space="preserve"> </w:t>
      </w:r>
      <w:r w:rsidR="00347437">
        <w:rPr>
          <w:rFonts w:ascii="Times New Roman" w:eastAsia="Times New Roman" w:hAnsi="Times New Roman"/>
          <w:sz w:val="28"/>
          <w:szCs w:val="28"/>
          <w:lang w:eastAsia="ru-RU"/>
        </w:rPr>
        <w:t>–</w:t>
      </w:r>
      <w:r w:rsidRPr="005C4802">
        <w:rPr>
          <w:rFonts w:ascii="Times New Roman" w:eastAsia="Times New Roman" w:hAnsi="Times New Roman"/>
          <w:sz w:val="28"/>
          <w:szCs w:val="28"/>
          <w:lang w:eastAsia="ru-RU"/>
        </w:rPr>
        <w:t xml:space="preserve"> Міністр</w:t>
      </w:r>
      <w:r w:rsidR="00347437">
        <w:rPr>
          <w:rFonts w:ascii="Times New Roman" w:eastAsia="Times New Roman" w:hAnsi="Times New Roman"/>
          <w:sz w:val="28"/>
          <w:szCs w:val="28"/>
          <w:lang w:eastAsia="ru-RU"/>
        </w:rPr>
        <w:t xml:space="preserve">а </w:t>
      </w:r>
      <w:r w:rsidRPr="005C4802">
        <w:rPr>
          <w:rFonts w:ascii="Times New Roman" w:eastAsia="Times New Roman" w:hAnsi="Times New Roman"/>
          <w:sz w:val="28"/>
          <w:szCs w:val="28"/>
          <w:lang w:eastAsia="ru-RU"/>
        </w:rPr>
        <w:t xml:space="preserve">економічного розвитку і торгівлі України </w:t>
      </w:r>
      <w:r>
        <w:rPr>
          <w:rFonts w:ascii="Times New Roman" w:eastAsia="Times New Roman" w:hAnsi="Times New Roman"/>
          <w:sz w:val="28"/>
          <w:szCs w:val="28"/>
          <w:lang w:eastAsia="ru-RU"/>
        </w:rPr>
        <w:t>Кубіва С.І.</w:t>
      </w:r>
      <w:r w:rsidR="00347437">
        <w:rPr>
          <w:rFonts w:ascii="Times New Roman" w:eastAsia="Times New Roman" w:hAnsi="Times New Roman"/>
          <w:sz w:val="28"/>
          <w:szCs w:val="28"/>
          <w:lang w:eastAsia="ru-RU"/>
        </w:rPr>
        <w:t xml:space="preserve"> </w:t>
      </w:r>
      <w:r w:rsidR="00347437" w:rsidRPr="00347437">
        <w:rPr>
          <w:rFonts w:ascii="Times New Roman" w:eastAsia="Arial" w:hAnsi="Times New Roman"/>
          <w:kern w:val="3"/>
          <w:sz w:val="28"/>
          <w:szCs w:val="28"/>
          <w:lang w:eastAsia="zh-CN" w:bidi="hi-IN"/>
        </w:rPr>
        <w:t>від 29.08.2017 № 33326/1/1-17</w:t>
      </w:r>
      <w:r w:rsidR="00D37327" w:rsidRPr="00D37327">
        <w:rPr>
          <w:rFonts w:ascii="Arial" w:eastAsia="Arial" w:hAnsi="Arial" w:cs="Arial"/>
          <w:bCs/>
          <w:color w:val="000000"/>
          <w:kern w:val="3"/>
          <w:vertAlign w:val="superscript"/>
          <w:lang w:val="en-US" w:eastAsia="zh-CN" w:bidi="hi-IN"/>
        </w:rPr>
        <w:footnoteReference w:id="2"/>
      </w:r>
      <w:r w:rsidR="00347437">
        <w:rPr>
          <w:rFonts w:ascii="Times New Roman" w:eastAsia="Arial" w:hAnsi="Times New Roman"/>
          <w:kern w:val="3"/>
          <w:sz w:val="28"/>
          <w:szCs w:val="28"/>
          <w:lang w:eastAsia="zh-CN" w:bidi="hi-IN"/>
        </w:rPr>
        <w:t>, яка свідчить, що ймовірність залишення органом ліцензування заяв про видачі ліцензії без розгляду або відмови у її видачі є високою.</w:t>
      </w:r>
      <w:r w:rsidR="00347437" w:rsidRPr="00347437">
        <w:rPr>
          <w:rFonts w:asciiTheme="minorHAnsi" w:eastAsiaTheme="minorHAnsi" w:hAnsiTheme="minorHAnsi" w:cstheme="minorHAnsi"/>
        </w:rPr>
        <w:t xml:space="preserve"> </w:t>
      </w:r>
      <w:r w:rsidR="00347437" w:rsidRPr="00347437">
        <w:rPr>
          <w:rFonts w:ascii="Times New Roman" w:eastAsia="Arial" w:hAnsi="Times New Roman"/>
          <w:kern w:val="3"/>
          <w:sz w:val="28"/>
          <w:szCs w:val="28"/>
          <w:lang w:eastAsia="zh-CN" w:bidi="hi-IN"/>
        </w:rPr>
        <w:t>Кожне четверте звернення суб’єкта господарювання за отриманням ліцензії закінчується відмовою у її видачі або залишенням заяви без розгляду (26% від поданих заяв).</w:t>
      </w:r>
      <w:r w:rsidR="00347437" w:rsidRPr="00347437">
        <w:rPr>
          <w:rFonts w:asciiTheme="minorHAnsi" w:eastAsiaTheme="minorHAnsi" w:hAnsiTheme="minorHAnsi" w:cstheme="minorHAnsi"/>
        </w:rPr>
        <w:t xml:space="preserve"> </w:t>
      </w:r>
      <w:r w:rsidR="00347437" w:rsidRPr="00347437">
        <w:rPr>
          <w:rFonts w:ascii="Times New Roman" w:eastAsia="Arial" w:hAnsi="Times New Roman"/>
          <w:kern w:val="3"/>
          <w:sz w:val="28"/>
          <w:szCs w:val="28"/>
          <w:lang w:eastAsia="zh-CN" w:bidi="hi-IN"/>
        </w:rPr>
        <w:t>Найпоширенішою підставою для відмови у видачі ліцензії за період 2014-2016 р</w:t>
      </w:r>
      <w:r w:rsidR="00347437">
        <w:rPr>
          <w:rFonts w:ascii="Times New Roman" w:eastAsia="Arial" w:hAnsi="Times New Roman"/>
          <w:kern w:val="3"/>
          <w:sz w:val="28"/>
          <w:szCs w:val="28"/>
          <w:lang w:eastAsia="zh-CN" w:bidi="hi-IN"/>
        </w:rPr>
        <w:t xml:space="preserve">.р. </w:t>
      </w:r>
      <w:r w:rsidR="00347437" w:rsidRPr="00347437">
        <w:rPr>
          <w:rFonts w:ascii="Times New Roman" w:eastAsia="Arial" w:hAnsi="Times New Roman"/>
          <w:kern w:val="3"/>
          <w:sz w:val="28"/>
          <w:szCs w:val="28"/>
          <w:lang w:eastAsia="zh-CN" w:bidi="hi-IN"/>
        </w:rPr>
        <w:t xml:space="preserve">є «невідповідність здобувача ліцензії ліцензійним умовам, встановленим для провадження відповідного виду господарської діяльності» за якою було здійснено 86% всіх відмов у видачі ліцензії (9963 відмов за цією підставою з 11521 загальної кількості відмов по усім органам, які надали інформацію). </w:t>
      </w:r>
    </w:p>
    <w:p w14:paraId="6F0477D0" w14:textId="77777777" w:rsidR="004E730D" w:rsidRPr="00E35FB3" w:rsidRDefault="00347437" w:rsidP="004E730D">
      <w:pPr>
        <w:ind w:left="-990" w:firstLine="709"/>
        <w:jc w:val="both"/>
        <w:rPr>
          <w:sz w:val="28"/>
          <w:szCs w:val="28"/>
        </w:rPr>
      </w:pPr>
      <w:r>
        <w:rPr>
          <w:sz w:val="28"/>
          <w:szCs w:val="28"/>
        </w:rPr>
        <w:t>Також, необхідність р</w:t>
      </w:r>
      <w:r w:rsidR="004E730D" w:rsidRPr="00E35FB3">
        <w:rPr>
          <w:sz w:val="28"/>
          <w:szCs w:val="28"/>
        </w:rPr>
        <w:t>озробк</w:t>
      </w:r>
      <w:r>
        <w:rPr>
          <w:sz w:val="28"/>
          <w:szCs w:val="28"/>
        </w:rPr>
        <w:t>и</w:t>
      </w:r>
      <w:r w:rsidR="004E730D" w:rsidRPr="00E35FB3">
        <w:rPr>
          <w:sz w:val="28"/>
          <w:szCs w:val="28"/>
        </w:rPr>
        <w:t xml:space="preserve"> проекту </w:t>
      </w:r>
      <w:r w:rsidR="004E730D" w:rsidRPr="004E730D">
        <w:rPr>
          <w:sz w:val="28"/>
          <w:szCs w:val="28"/>
        </w:rPr>
        <w:t xml:space="preserve">Закону України </w:t>
      </w:r>
      <w:r w:rsidR="002D526E" w:rsidRPr="002D526E">
        <w:rPr>
          <w:sz w:val="28"/>
          <w:szCs w:val="28"/>
        </w:rPr>
        <w:t>«Про внесення змін до Закону України «Про ліцензування видів господарської діяльності» та деяких інших законодавчих актів України щодо удосконалення порядку ліцензування»</w:t>
      </w:r>
      <w:r w:rsidR="002D526E">
        <w:rPr>
          <w:sz w:val="28"/>
          <w:szCs w:val="28"/>
        </w:rPr>
        <w:t xml:space="preserve"> </w:t>
      </w:r>
      <w:r>
        <w:rPr>
          <w:sz w:val="28"/>
          <w:szCs w:val="28"/>
        </w:rPr>
        <w:t xml:space="preserve">пов’язана із чисельними </w:t>
      </w:r>
      <w:r w:rsidR="004E730D" w:rsidRPr="00E35FB3">
        <w:rPr>
          <w:sz w:val="28"/>
          <w:szCs w:val="28"/>
        </w:rPr>
        <w:t>звернення</w:t>
      </w:r>
      <w:r>
        <w:rPr>
          <w:sz w:val="28"/>
          <w:szCs w:val="28"/>
        </w:rPr>
        <w:t>ми</w:t>
      </w:r>
      <w:r w:rsidR="004E730D" w:rsidRPr="00E35FB3">
        <w:rPr>
          <w:sz w:val="28"/>
          <w:szCs w:val="28"/>
        </w:rPr>
        <w:t xml:space="preserve"> </w:t>
      </w:r>
      <w:r>
        <w:rPr>
          <w:sz w:val="28"/>
          <w:szCs w:val="28"/>
        </w:rPr>
        <w:t xml:space="preserve">протягом 2016-2017 р.р. </w:t>
      </w:r>
      <w:r w:rsidR="004E730D" w:rsidRPr="00E35FB3">
        <w:rPr>
          <w:sz w:val="28"/>
          <w:szCs w:val="28"/>
        </w:rPr>
        <w:t xml:space="preserve">суб’єктів господарювання </w:t>
      </w:r>
      <w:r>
        <w:rPr>
          <w:sz w:val="28"/>
          <w:szCs w:val="28"/>
        </w:rPr>
        <w:t>щодо</w:t>
      </w:r>
      <w:r w:rsidR="004E730D" w:rsidRPr="00E35FB3">
        <w:rPr>
          <w:sz w:val="28"/>
          <w:szCs w:val="28"/>
        </w:rPr>
        <w:t xml:space="preserve"> </w:t>
      </w:r>
      <w:r w:rsidR="004E730D">
        <w:rPr>
          <w:sz w:val="28"/>
          <w:szCs w:val="28"/>
        </w:rPr>
        <w:t>недосконал</w:t>
      </w:r>
      <w:r>
        <w:rPr>
          <w:sz w:val="28"/>
          <w:szCs w:val="28"/>
        </w:rPr>
        <w:t>о</w:t>
      </w:r>
      <w:r w:rsidR="004E730D">
        <w:rPr>
          <w:sz w:val="28"/>
          <w:szCs w:val="28"/>
        </w:rPr>
        <w:t>ст</w:t>
      </w:r>
      <w:r>
        <w:rPr>
          <w:sz w:val="28"/>
          <w:szCs w:val="28"/>
        </w:rPr>
        <w:t>і</w:t>
      </w:r>
      <w:r w:rsidR="004E730D">
        <w:rPr>
          <w:sz w:val="28"/>
          <w:szCs w:val="28"/>
        </w:rPr>
        <w:t xml:space="preserve"> норм Закону про ліцензування, а також наявн</w:t>
      </w:r>
      <w:r>
        <w:rPr>
          <w:sz w:val="28"/>
          <w:szCs w:val="28"/>
        </w:rPr>
        <w:t>о</w:t>
      </w:r>
      <w:r w:rsidR="004E730D">
        <w:rPr>
          <w:sz w:val="28"/>
          <w:szCs w:val="28"/>
        </w:rPr>
        <w:t>ст</w:t>
      </w:r>
      <w:r>
        <w:rPr>
          <w:sz w:val="28"/>
          <w:szCs w:val="28"/>
        </w:rPr>
        <w:t>і</w:t>
      </w:r>
      <w:r w:rsidR="004E730D">
        <w:rPr>
          <w:sz w:val="28"/>
          <w:szCs w:val="28"/>
        </w:rPr>
        <w:t xml:space="preserve"> правових колізій</w:t>
      </w:r>
      <w:r w:rsidR="004E730D" w:rsidRPr="00E35FB3">
        <w:rPr>
          <w:sz w:val="28"/>
          <w:szCs w:val="28"/>
        </w:rPr>
        <w:t xml:space="preserve">. </w:t>
      </w:r>
    </w:p>
    <w:p w14:paraId="19755024" w14:textId="77777777" w:rsidR="004204DC" w:rsidRPr="004204DC" w:rsidRDefault="004204DC" w:rsidP="004204DC">
      <w:pPr>
        <w:pStyle w:val="ae"/>
        <w:spacing w:after="240" w:line="240" w:lineRule="auto"/>
        <w:ind w:left="-990" w:firstLine="708"/>
        <w:jc w:val="both"/>
        <w:rPr>
          <w:rFonts w:ascii="Times New Roman" w:eastAsia="Times New Roman" w:hAnsi="Times New Roman"/>
          <w:color w:val="000000" w:themeColor="text1"/>
          <w:sz w:val="28"/>
          <w:szCs w:val="28"/>
          <w:lang w:eastAsia="ru-RU"/>
        </w:rPr>
      </w:pPr>
    </w:p>
    <w:p w14:paraId="44902602" w14:textId="77777777" w:rsidR="00C31A77" w:rsidRPr="00A86C93" w:rsidRDefault="00A86C93" w:rsidP="00A86C93">
      <w:pPr>
        <w:spacing w:after="240"/>
        <w:jc w:val="both"/>
        <w:rPr>
          <w:sz w:val="28"/>
          <w:szCs w:val="28"/>
        </w:rPr>
      </w:pPr>
      <w:r>
        <w:rPr>
          <w:sz w:val="28"/>
          <w:szCs w:val="28"/>
          <w:shd w:val="clear" w:color="auto" w:fill="FFFFFF"/>
        </w:rPr>
        <w:t>О</w:t>
      </w:r>
      <w:r w:rsidR="009A1FA1" w:rsidRPr="00A86C93">
        <w:rPr>
          <w:sz w:val="28"/>
          <w:szCs w:val="28"/>
          <w:shd w:val="clear" w:color="auto" w:fill="FFFFFF"/>
        </w:rPr>
        <w:t>сновними</w:t>
      </w:r>
      <w:r w:rsidR="00F040A1" w:rsidRPr="00A86C93">
        <w:rPr>
          <w:sz w:val="28"/>
          <w:szCs w:val="28"/>
          <w:shd w:val="clear" w:color="auto" w:fill="FFFFFF"/>
        </w:rPr>
        <w:t xml:space="preserve"> </w:t>
      </w:r>
      <w:r w:rsidR="00C31A77" w:rsidRPr="00A86C93">
        <w:rPr>
          <w:sz w:val="28"/>
          <w:szCs w:val="28"/>
        </w:rPr>
        <w:t>груп</w:t>
      </w:r>
      <w:r w:rsidR="00F040A1" w:rsidRPr="00A86C93">
        <w:rPr>
          <w:sz w:val="28"/>
          <w:szCs w:val="28"/>
        </w:rPr>
        <w:t>ами</w:t>
      </w:r>
      <w:r w:rsidR="00C31A77" w:rsidRPr="00A86C93">
        <w:rPr>
          <w:sz w:val="28"/>
          <w:szCs w:val="28"/>
        </w:rPr>
        <w:t xml:space="preserve"> (підгрупи), на які проблем</w:t>
      </w:r>
      <w:r w:rsidR="006C1CF3" w:rsidRPr="00A86C93">
        <w:rPr>
          <w:sz w:val="28"/>
          <w:szCs w:val="28"/>
        </w:rPr>
        <w:t>а справляє</w:t>
      </w:r>
      <w:r w:rsidR="00C31A77" w:rsidRPr="00A86C93">
        <w:rPr>
          <w:sz w:val="28"/>
          <w:szCs w:val="28"/>
        </w:rPr>
        <w:t xml:space="preserve"> вплив</w:t>
      </w:r>
      <w:r w:rsidR="00F040A1" w:rsidRPr="00A86C93">
        <w:rPr>
          <w:sz w:val="28"/>
          <w:szCs w:val="28"/>
        </w:rPr>
        <w:t xml:space="preserve"> є</w:t>
      </w:r>
      <w:r w:rsidR="00C31A77" w:rsidRPr="00A86C93">
        <w:rPr>
          <w:sz w:val="28"/>
          <w:szCs w:val="28"/>
        </w:rPr>
        <w:t>:</w:t>
      </w:r>
    </w:p>
    <w:p w14:paraId="690EE5A7" w14:textId="77777777" w:rsidR="00F040A1" w:rsidRPr="00CB4504" w:rsidRDefault="00F040A1" w:rsidP="00CE1562">
      <w:pPr>
        <w:pStyle w:val="ae"/>
        <w:spacing w:after="240" w:line="240" w:lineRule="auto"/>
        <w:ind w:left="-990" w:firstLine="708"/>
        <w:jc w:val="both"/>
        <w:rPr>
          <w:rFonts w:ascii="Times New Roman" w:hAnsi="Times New Roman"/>
          <w:sz w:val="16"/>
          <w:szCs w:val="16"/>
          <w:shd w:val="clear" w:color="auto" w:fill="FFFFFF"/>
          <w:lang w:eastAsia="ru-RU"/>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2660"/>
        <w:gridCol w:w="1821"/>
      </w:tblGrid>
      <w:tr w:rsidR="00C31A77" w:rsidRPr="00CB4504" w14:paraId="358EA577" w14:textId="77777777" w:rsidTr="00CE1562">
        <w:tc>
          <w:tcPr>
            <w:tcW w:w="5810" w:type="dxa"/>
            <w:shd w:val="clear" w:color="auto" w:fill="auto"/>
          </w:tcPr>
          <w:p w14:paraId="7B8D2A15"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Групи (підгрупи)</w:t>
            </w:r>
          </w:p>
        </w:tc>
        <w:tc>
          <w:tcPr>
            <w:tcW w:w="2693" w:type="dxa"/>
            <w:shd w:val="clear" w:color="auto" w:fill="auto"/>
          </w:tcPr>
          <w:p w14:paraId="71944F7A"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Так</w:t>
            </w:r>
          </w:p>
        </w:tc>
        <w:tc>
          <w:tcPr>
            <w:tcW w:w="1843" w:type="dxa"/>
            <w:shd w:val="clear" w:color="auto" w:fill="auto"/>
          </w:tcPr>
          <w:p w14:paraId="61B9F23B"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Ні</w:t>
            </w:r>
          </w:p>
        </w:tc>
      </w:tr>
      <w:tr w:rsidR="00C31A77" w:rsidRPr="00CB4504" w14:paraId="5B6CA707" w14:textId="77777777" w:rsidTr="00CE1562">
        <w:tc>
          <w:tcPr>
            <w:tcW w:w="5810" w:type="dxa"/>
            <w:shd w:val="clear" w:color="auto" w:fill="auto"/>
          </w:tcPr>
          <w:p w14:paraId="3C6E8C84" w14:textId="77777777" w:rsidR="00C31A77" w:rsidRPr="00CB4504" w:rsidRDefault="00C31A77" w:rsidP="00CE1562">
            <w:pPr>
              <w:pStyle w:val="ae"/>
              <w:spacing w:after="0"/>
              <w:ind w:left="-990"/>
              <w:jc w:val="right"/>
              <w:rPr>
                <w:rFonts w:ascii="Times New Roman" w:hAnsi="Times New Roman"/>
                <w:sz w:val="24"/>
                <w:szCs w:val="24"/>
              </w:rPr>
            </w:pPr>
            <w:r w:rsidRPr="00CB4504">
              <w:rPr>
                <w:rFonts w:ascii="Times New Roman" w:hAnsi="Times New Roman"/>
                <w:sz w:val="24"/>
                <w:szCs w:val="24"/>
              </w:rPr>
              <w:t>Громадяни</w:t>
            </w:r>
          </w:p>
        </w:tc>
        <w:tc>
          <w:tcPr>
            <w:tcW w:w="2693" w:type="dxa"/>
            <w:shd w:val="clear" w:color="auto" w:fill="auto"/>
          </w:tcPr>
          <w:p w14:paraId="781165F6" w14:textId="77777777" w:rsidR="00C31A77" w:rsidRPr="00CB4504" w:rsidRDefault="00A86C93" w:rsidP="00CE1562">
            <w:pPr>
              <w:pStyle w:val="ae"/>
              <w:spacing w:after="0"/>
              <w:ind w:left="-990"/>
              <w:jc w:val="center"/>
              <w:rPr>
                <w:rFonts w:ascii="Times New Roman" w:hAnsi="Times New Roman"/>
                <w:sz w:val="24"/>
                <w:szCs w:val="24"/>
              </w:rPr>
            </w:pPr>
            <w:r>
              <w:rPr>
                <w:rFonts w:ascii="Times New Roman" w:hAnsi="Times New Roman"/>
                <w:sz w:val="24"/>
                <w:szCs w:val="24"/>
              </w:rPr>
              <w:t>--</w:t>
            </w:r>
          </w:p>
        </w:tc>
        <w:tc>
          <w:tcPr>
            <w:tcW w:w="1843" w:type="dxa"/>
            <w:shd w:val="clear" w:color="auto" w:fill="auto"/>
          </w:tcPr>
          <w:p w14:paraId="4E818F8B" w14:textId="77777777" w:rsidR="00C31A77" w:rsidRPr="00CB4504" w:rsidRDefault="00A86C93" w:rsidP="00CE1562">
            <w:pPr>
              <w:pStyle w:val="ae"/>
              <w:spacing w:after="0"/>
              <w:ind w:left="-990"/>
              <w:jc w:val="center"/>
              <w:rPr>
                <w:rFonts w:ascii="Times New Roman" w:hAnsi="Times New Roman"/>
                <w:sz w:val="24"/>
                <w:szCs w:val="24"/>
              </w:rPr>
            </w:pPr>
            <w:r>
              <w:rPr>
                <w:rFonts w:ascii="Times New Roman" w:hAnsi="Times New Roman"/>
                <w:sz w:val="24"/>
                <w:szCs w:val="24"/>
              </w:rPr>
              <w:t>ні</w:t>
            </w:r>
          </w:p>
        </w:tc>
      </w:tr>
      <w:tr w:rsidR="00C31A77" w:rsidRPr="00CB4504" w14:paraId="56706FD2" w14:textId="77777777" w:rsidTr="00CE1562">
        <w:tc>
          <w:tcPr>
            <w:tcW w:w="5810" w:type="dxa"/>
            <w:shd w:val="clear" w:color="auto" w:fill="auto"/>
          </w:tcPr>
          <w:p w14:paraId="7250A815" w14:textId="77777777" w:rsidR="00C31A77" w:rsidRPr="00CB4504" w:rsidRDefault="00C31A77" w:rsidP="00CE1562">
            <w:pPr>
              <w:pStyle w:val="ae"/>
              <w:spacing w:after="0"/>
              <w:ind w:left="-990"/>
              <w:jc w:val="right"/>
              <w:rPr>
                <w:rFonts w:ascii="Times New Roman" w:hAnsi="Times New Roman"/>
                <w:sz w:val="24"/>
                <w:szCs w:val="24"/>
              </w:rPr>
            </w:pPr>
            <w:r w:rsidRPr="00CB4504">
              <w:rPr>
                <w:rFonts w:ascii="Times New Roman" w:hAnsi="Times New Roman"/>
                <w:sz w:val="24"/>
                <w:szCs w:val="24"/>
              </w:rPr>
              <w:t>Держава</w:t>
            </w:r>
          </w:p>
        </w:tc>
        <w:tc>
          <w:tcPr>
            <w:tcW w:w="2693" w:type="dxa"/>
            <w:shd w:val="clear" w:color="auto" w:fill="auto"/>
          </w:tcPr>
          <w:p w14:paraId="1B4D2717"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так</w:t>
            </w:r>
          </w:p>
        </w:tc>
        <w:tc>
          <w:tcPr>
            <w:tcW w:w="1843" w:type="dxa"/>
            <w:shd w:val="clear" w:color="auto" w:fill="auto"/>
          </w:tcPr>
          <w:p w14:paraId="79E161C3"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__</w:t>
            </w:r>
          </w:p>
        </w:tc>
      </w:tr>
      <w:tr w:rsidR="00C31A77" w:rsidRPr="00CB4504" w14:paraId="1A5D470E" w14:textId="77777777" w:rsidTr="00CE1562">
        <w:tc>
          <w:tcPr>
            <w:tcW w:w="5810" w:type="dxa"/>
            <w:shd w:val="clear" w:color="auto" w:fill="auto"/>
          </w:tcPr>
          <w:p w14:paraId="327EC067" w14:textId="77777777" w:rsidR="00C31A77" w:rsidRPr="00CB4504" w:rsidRDefault="00C31A77" w:rsidP="00CE1562">
            <w:pPr>
              <w:pStyle w:val="ae"/>
              <w:spacing w:after="0"/>
              <w:ind w:left="-990"/>
              <w:jc w:val="right"/>
              <w:rPr>
                <w:rFonts w:ascii="Times New Roman" w:hAnsi="Times New Roman"/>
                <w:sz w:val="24"/>
                <w:szCs w:val="24"/>
              </w:rPr>
            </w:pPr>
            <w:r w:rsidRPr="00CB4504">
              <w:rPr>
                <w:rFonts w:ascii="Times New Roman" w:hAnsi="Times New Roman"/>
                <w:sz w:val="24"/>
                <w:szCs w:val="24"/>
              </w:rPr>
              <w:t>Суб</w:t>
            </w:r>
            <w:r w:rsidRPr="00CB4504">
              <w:rPr>
                <w:rFonts w:ascii="Times New Roman" w:hAnsi="Times New Roman"/>
                <w:sz w:val="24"/>
                <w:szCs w:val="24"/>
                <w:lang w:val="en-US"/>
              </w:rPr>
              <w:t>’</w:t>
            </w:r>
            <w:r w:rsidRPr="00CB4504">
              <w:rPr>
                <w:rFonts w:ascii="Times New Roman" w:hAnsi="Times New Roman"/>
                <w:sz w:val="24"/>
                <w:szCs w:val="24"/>
              </w:rPr>
              <w:t>єкти господарювання,</w:t>
            </w:r>
          </w:p>
        </w:tc>
        <w:tc>
          <w:tcPr>
            <w:tcW w:w="2693" w:type="dxa"/>
            <w:shd w:val="clear" w:color="auto" w:fill="auto"/>
          </w:tcPr>
          <w:p w14:paraId="43A80596" w14:textId="77777777" w:rsidR="00C31A77" w:rsidRPr="00CB4504" w:rsidRDefault="00C31A77" w:rsidP="00CE1562">
            <w:pPr>
              <w:pStyle w:val="ae"/>
              <w:tabs>
                <w:tab w:val="left" w:pos="1350"/>
                <w:tab w:val="center" w:pos="1470"/>
              </w:tabs>
              <w:spacing w:after="0"/>
              <w:ind w:left="-990"/>
              <w:jc w:val="center"/>
              <w:rPr>
                <w:rFonts w:ascii="Times New Roman" w:hAnsi="Times New Roman"/>
                <w:sz w:val="24"/>
                <w:szCs w:val="24"/>
              </w:rPr>
            </w:pPr>
            <w:r w:rsidRPr="00CB4504">
              <w:rPr>
                <w:rFonts w:ascii="Times New Roman" w:hAnsi="Times New Roman"/>
                <w:sz w:val="24"/>
                <w:szCs w:val="24"/>
              </w:rPr>
              <w:t>так</w:t>
            </w:r>
          </w:p>
        </w:tc>
        <w:tc>
          <w:tcPr>
            <w:tcW w:w="1843" w:type="dxa"/>
            <w:shd w:val="clear" w:color="auto" w:fill="auto"/>
          </w:tcPr>
          <w:p w14:paraId="1FEB20FD"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__</w:t>
            </w:r>
          </w:p>
        </w:tc>
      </w:tr>
      <w:tr w:rsidR="00C31A77" w:rsidRPr="00CB4504" w14:paraId="2712C820" w14:textId="77777777" w:rsidTr="00CE1562">
        <w:tc>
          <w:tcPr>
            <w:tcW w:w="5810" w:type="dxa"/>
            <w:shd w:val="clear" w:color="auto" w:fill="auto"/>
          </w:tcPr>
          <w:p w14:paraId="077B9FF5" w14:textId="77777777" w:rsidR="00C31A77" w:rsidRPr="00CB4504" w:rsidRDefault="00C31A77" w:rsidP="00CE1562">
            <w:pPr>
              <w:pStyle w:val="ae"/>
              <w:spacing w:after="0"/>
              <w:ind w:left="-990"/>
              <w:jc w:val="right"/>
              <w:rPr>
                <w:rFonts w:ascii="Times New Roman" w:hAnsi="Times New Roman"/>
                <w:sz w:val="24"/>
                <w:szCs w:val="24"/>
              </w:rPr>
            </w:pPr>
            <w:r w:rsidRPr="00CB4504">
              <w:rPr>
                <w:rFonts w:ascii="Times New Roman" w:hAnsi="Times New Roman"/>
                <w:sz w:val="24"/>
                <w:szCs w:val="24"/>
              </w:rPr>
              <w:t>у тому числі суб</w:t>
            </w:r>
            <w:r w:rsidRPr="00CB4504">
              <w:rPr>
                <w:rFonts w:ascii="Times New Roman" w:hAnsi="Times New Roman"/>
                <w:sz w:val="24"/>
                <w:szCs w:val="24"/>
                <w:lang w:val="ru-RU"/>
              </w:rPr>
              <w:t>’</w:t>
            </w:r>
            <w:r w:rsidRPr="00CB4504">
              <w:rPr>
                <w:rFonts w:ascii="Times New Roman" w:hAnsi="Times New Roman"/>
                <w:sz w:val="24"/>
                <w:szCs w:val="24"/>
              </w:rPr>
              <w:t>єкти малого підприємництва</w:t>
            </w:r>
          </w:p>
        </w:tc>
        <w:tc>
          <w:tcPr>
            <w:tcW w:w="2693" w:type="dxa"/>
            <w:shd w:val="clear" w:color="auto" w:fill="auto"/>
          </w:tcPr>
          <w:p w14:paraId="2CB43280"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так</w:t>
            </w:r>
          </w:p>
        </w:tc>
        <w:tc>
          <w:tcPr>
            <w:tcW w:w="1843" w:type="dxa"/>
            <w:shd w:val="clear" w:color="auto" w:fill="auto"/>
          </w:tcPr>
          <w:p w14:paraId="180230B2" w14:textId="77777777" w:rsidR="00C31A77" w:rsidRPr="00CB4504" w:rsidRDefault="00C31A77" w:rsidP="00CE1562">
            <w:pPr>
              <w:pStyle w:val="ae"/>
              <w:spacing w:after="0"/>
              <w:ind w:left="-990"/>
              <w:jc w:val="center"/>
              <w:rPr>
                <w:rFonts w:ascii="Times New Roman" w:hAnsi="Times New Roman"/>
                <w:sz w:val="24"/>
                <w:szCs w:val="24"/>
              </w:rPr>
            </w:pPr>
            <w:r w:rsidRPr="00CB4504">
              <w:rPr>
                <w:rFonts w:ascii="Times New Roman" w:hAnsi="Times New Roman"/>
                <w:sz w:val="24"/>
                <w:szCs w:val="24"/>
              </w:rPr>
              <w:t>__</w:t>
            </w:r>
          </w:p>
        </w:tc>
      </w:tr>
    </w:tbl>
    <w:p w14:paraId="16943497" w14:textId="77777777" w:rsidR="00065532" w:rsidRPr="00CB4504" w:rsidRDefault="00065532" w:rsidP="00CE1562">
      <w:pPr>
        <w:ind w:left="-990" w:firstLine="709"/>
        <w:jc w:val="both"/>
        <w:rPr>
          <w:sz w:val="16"/>
          <w:szCs w:val="16"/>
        </w:rPr>
      </w:pPr>
    </w:p>
    <w:p w14:paraId="4EB24AD7" w14:textId="77777777" w:rsidR="00EF48DB" w:rsidRDefault="00EF48DB" w:rsidP="004204DC">
      <w:pPr>
        <w:ind w:left="-990" w:firstLine="709"/>
        <w:jc w:val="both"/>
        <w:rPr>
          <w:sz w:val="28"/>
          <w:szCs w:val="28"/>
          <w:lang w:val="ru-RU"/>
        </w:rPr>
      </w:pPr>
    </w:p>
    <w:p w14:paraId="28EDE69C" w14:textId="77777777" w:rsidR="004204DC" w:rsidRPr="00577C27" w:rsidRDefault="004204DC" w:rsidP="004204DC">
      <w:pPr>
        <w:ind w:left="-990" w:firstLine="709"/>
        <w:jc w:val="both"/>
        <w:rPr>
          <w:sz w:val="28"/>
          <w:szCs w:val="28"/>
        </w:rPr>
      </w:pPr>
      <w:r w:rsidRPr="00577C27">
        <w:rPr>
          <w:sz w:val="28"/>
          <w:szCs w:val="28"/>
        </w:rPr>
        <w:t>Визначен</w:t>
      </w:r>
      <w:r w:rsidR="00A9036B" w:rsidRPr="00577C27">
        <w:rPr>
          <w:sz w:val="28"/>
          <w:szCs w:val="28"/>
        </w:rPr>
        <w:t>і проблеми не можуть бути розв’язані</w:t>
      </w:r>
      <w:r w:rsidRPr="00577C27">
        <w:rPr>
          <w:sz w:val="28"/>
          <w:szCs w:val="28"/>
        </w:rPr>
        <w:t xml:space="preserve"> за допомогою </w:t>
      </w:r>
      <w:r w:rsidR="00A9036B" w:rsidRPr="00577C27">
        <w:rPr>
          <w:sz w:val="28"/>
          <w:szCs w:val="28"/>
        </w:rPr>
        <w:t xml:space="preserve">ринкових механізмів та потребують </w:t>
      </w:r>
      <w:r w:rsidRPr="00577C27">
        <w:rPr>
          <w:sz w:val="28"/>
          <w:szCs w:val="28"/>
        </w:rPr>
        <w:t>вирішення шляхом державного регулювання. Положення, викладені в проекті регуляторного акта, мають загальнообов’язковий характер і не можуть затверджуватись локальними актами суб’єктів господарювання.</w:t>
      </w:r>
    </w:p>
    <w:p w14:paraId="49B4B39B" w14:textId="77777777" w:rsidR="003D606E" w:rsidRPr="00577C27" w:rsidRDefault="003D606E" w:rsidP="004204DC">
      <w:pPr>
        <w:ind w:left="-990" w:firstLine="709"/>
        <w:jc w:val="both"/>
        <w:rPr>
          <w:sz w:val="28"/>
          <w:szCs w:val="28"/>
        </w:rPr>
      </w:pPr>
    </w:p>
    <w:p w14:paraId="345B1F58" w14:textId="77777777" w:rsidR="00B913F5" w:rsidRPr="00CB4504" w:rsidRDefault="00A7226B" w:rsidP="00A74E52">
      <w:pPr>
        <w:ind w:left="-990" w:firstLine="709"/>
        <w:jc w:val="center"/>
        <w:rPr>
          <w:b/>
          <w:sz w:val="28"/>
          <w:szCs w:val="28"/>
        </w:rPr>
      </w:pPr>
      <w:r w:rsidRPr="00CB4504">
        <w:rPr>
          <w:b/>
          <w:sz w:val="28"/>
          <w:szCs w:val="28"/>
          <w:lang w:val="en-US"/>
        </w:rPr>
        <w:t>II</w:t>
      </w:r>
      <w:r w:rsidRPr="00CB4504">
        <w:rPr>
          <w:b/>
          <w:sz w:val="28"/>
          <w:szCs w:val="28"/>
        </w:rPr>
        <w:t>. Цілі державного регулювання</w:t>
      </w:r>
    </w:p>
    <w:p w14:paraId="26CE4B3C" w14:textId="77777777" w:rsidR="00E53DAF" w:rsidRDefault="002472F4" w:rsidP="004204DC">
      <w:pPr>
        <w:ind w:left="-990" w:firstLine="709"/>
        <w:jc w:val="both"/>
        <w:rPr>
          <w:sz w:val="28"/>
          <w:szCs w:val="28"/>
        </w:rPr>
      </w:pPr>
      <w:r>
        <w:rPr>
          <w:sz w:val="28"/>
          <w:szCs w:val="28"/>
        </w:rPr>
        <w:t>У</w:t>
      </w:r>
      <w:r w:rsidR="00E53DAF" w:rsidRPr="00E53DAF">
        <w:rPr>
          <w:sz w:val="28"/>
          <w:szCs w:val="28"/>
        </w:rPr>
        <w:t xml:space="preserve">досконалення </w:t>
      </w:r>
      <w:r w:rsidR="008F031F">
        <w:rPr>
          <w:sz w:val="28"/>
          <w:szCs w:val="28"/>
        </w:rPr>
        <w:t xml:space="preserve">вже </w:t>
      </w:r>
      <w:r w:rsidR="00E53DAF" w:rsidRPr="00E53DAF">
        <w:rPr>
          <w:sz w:val="28"/>
          <w:szCs w:val="28"/>
        </w:rPr>
        <w:t>запроваджених державою принципів та процедур ліцензування</w:t>
      </w:r>
      <w:r w:rsidR="008F031F">
        <w:rPr>
          <w:sz w:val="28"/>
          <w:szCs w:val="28"/>
        </w:rPr>
        <w:t>,</w:t>
      </w:r>
      <w:r w:rsidR="00E53DAF" w:rsidRPr="00E53DAF">
        <w:rPr>
          <w:sz w:val="28"/>
          <w:szCs w:val="28"/>
        </w:rPr>
        <w:t xml:space="preserve"> з метою чіткого їх окреслення, </w:t>
      </w:r>
      <w:r w:rsidR="004204DC" w:rsidRPr="004204DC">
        <w:rPr>
          <w:sz w:val="28"/>
          <w:szCs w:val="28"/>
        </w:rPr>
        <w:t xml:space="preserve">усунення правових колізій </w:t>
      </w:r>
      <w:r w:rsidR="004204DC">
        <w:rPr>
          <w:sz w:val="28"/>
          <w:szCs w:val="28"/>
        </w:rPr>
        <w:t xml:space="preserve">та </w:t>
      </w:r>
      <w:r w:rsidR="004204DC" w:rsidRPr="004204DC">
        <w:rPr>
          <w:sz w:val="28"/>
          <w:szCs w:val="28"/>
        </w:rPr>
        <w:t xml:space="preserve"> </w:t>
      </w:r>
      <w:r>
        <w:rPr>
          <w:sz w:val="28"/>
          <w:szCs w:val="28"/>
        </w:rPr>
        <w:t>у</w:t>
      </w:r>
      <w:r w:rsidR="00E53DAF" w:rsidRPr="00E53DAF">
        <w:rPr>
          <w:sz w:val="28"/>
          <w:szCs w:val="28"/>
        </w:rPr>
        <w:t>неможливлення порушення прав суб’єктів господарювання</w:t>
      </w:r>
      <w:r w:rsidR="004204DC">
        <w:rPr>
          <w:sz w:val="28"/>
          <w:szCs w:val="28"/>
        </w:rPr>
        <w:t>.</w:t>
      </w:r>
    </w:p>
    <w:p w14:paraId="53291596" w14:textId="77777777" w:rsidR="009C4428" w:rsidRDefault="009C4428" w:rsidP="004204DC">
      <w:pPr>
        <w:ind w:left="-990" w:firstLine="709"/>
        <w:jc w:val="both"/>
        <w:rPr>
          <w:sz w:val="28"/>
          <w:szCs w:val="28"/>
        </w:rPr>
      </w:pPr>
      <w:r>
        <w:rPr>
          <w:sz w:val="28"/>
          <w:szCs w:val="28"/>
        </w:rPr>
        <w:t>Скорочення фінансових витрат здобувачів ліцензій та ліцензіатів.</w:t>
      </w:r>
    </w:p>
    <w:p w14:paraId="6A2DFEB2" w14:textId="77777777" w:rsidR="004204DC" w:rsidRPr="00E53DAF" w:rsidRDefault="004204DC" w:rsidP="004204DC">
      <w:pPr>
        <w:ind w:left="-990" w:firstLine="709"/>
        <w:jc w:val="both"/>
        <w:rPr>
          <w:sz w:val="28"/>
          <w:szCs w:val="28"/>
        </w:rPr>
      </w:pPr>
    </w:p>
    <w:p w14:paraId="0190DF64" w14:textId="77777777" w:rsidR="005A5360" w:rsidRDefault="005A5360" w:rsidP="00E53DAF">
      <w:pPr>
        <w:ind w:left="-990" w:firstLine="709"/>
        <w:jc w:val="both"/>
        <w:rPr>
          <w:b/>
          <w:sz w:val="28"/>
          <w:szCs w:val="28"/>
        </w:rPr>
      </w:pPr>
      <w:r w:rsidRPr="00CB4504">
        <w:rPr>
          <w:b/>
          <w:sz w:val="28"/>
          <w:szCs w:val="28"/>
          <w:lang w:val="en-US"/>
        </w:rPr>
        <w:t>III</w:t>
      </w:r>
      <w:r w:rsidRPr="00CB4504">
        <w:rPr>
          <w:b/>
          <w:sz w:val="28"/>
          <w:szCs w:val="28"/>
        </w:rPr>
        <w:t>. Визначення та оцінка альтернативних способів досягнення цілей</w:t>
      </w:r>
    </w:p>
    <w:p w14:paraId="2DD6A1F2" w14:textId="77777777" w:rsidR="005A5360" w:rsidRPr="00CB4504" w:rsidRDefault="005A5360" w:rsidP="00CE1562">
      <w:pPr>
        <w:ind w:left="-990" w:firstLine="709"/>
        <w:jc w:val="both"/>
        <w:rPr>
          <w:sz w:val="28"/>
          <w:szCs w:val="28"/>
          <w:shd w:val="clear" w:color="auto" w:fill="FFFFFF"/>
        </w:rPr>
      </w:pPr>
      <w:r w:rsidRPr="00CB4504">
        <w:rPr>
          <w:sz w:val="28"/>
          <w:szCs w:val="28"/>
          <w:shd w:val="clear" w:color="auto" w:fill="FFFFFF"/>
        </w:rPr>
        <w:t>1. Визначення альтернативних способів</w:t>
      </w:r>
    </w:p>
    <w:p w14:paraId="1E0F979C" w14:textId="77777777" w:rsidR="00A7226B" w:rsidRPr="00CB4504" w:rsidRDefault="00A7226B" w:rsidP="00A7226B">
      <w:pPr>
        <w:pStyle w:val="ac"/>
        <w:ind w:firstLine="709"/>
        <w:jc w:val="both"/>
        <w:outlineLvl w:val="0"/>
        <w:rPr>
          <w:rFonts w:ascii="Times New Roman" w:hAnsi="Times New Roman"/>
          <w:bCs/>
          <w:sz w:val="16"/>
          <w:szCs w:val="16"/>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7293"/>
      </w:tblGrid>
      <w:tr w:rsidR="005A5360" w:rsidRPr="00CB4504" w14:paraId="4B285F1B" w14:textId="77777777" w:rsidTr="00E35FB3">
        <w:tc>
          <w:tcPr>
            <w:tcW w:w="2934" w:type="dxa"/>
            <w:shd w:val="clear" w:color="auto" w:fill="auto"/>
          </w:tcPr>
          <w:p w14:paraId="573800B8" w14:textId="77777777" w:rsidR="005A5360" w:rsidRPr="00CB4504" w:rsidRDefault="005A5360" w:rsidP="007B60CB">
            <w:pPr>
              <w:jc w:val="center"/>
            </w:pPr>
            <w:r w:rsidRPr="00CB4504">
              <w:t>Вид альтернативи</w:t>
            </w:r>
          </w:p>
        </w:tc>
        <w:tc>
          <w:tcPr>
            <w:tcW w:w="7293" w:type="dxa"/>
            <w:shd w:val="clear" w:color="auto" w:fill="auto"/>
          </w:tcPr>
          <w:p w14:paraId="1A806827" w14:textId="77777777" w:rsidR="005A5360" w:rsidRPr="00CB4504" w:rsidRDefault="005A5360" w:rsidP="007B60CB">
            <w:pPr>
              <w:jc w:val="center"/>
            </w:pPr>
            <w:r w:rsidRPr="00CB4504">
              <w:t>Опис альтернативи</w:t>
            </w:r>
          </w:p>
        </w:tc>
      </w:tr>
      <w:tr w:rsidR="005A5360" w:rsidRPr="00CB4504" w14:paraId="46D91B11" w14:textId="77777777" w:rsidTr="00E35FB3">
        <w:tc>
          <w:tcPr>
            <w:tcW w:w="2934" w:type="dxa"/>
            <w:shd w:val="clear" w:color="auto" w:fill="auto"/>
          </w:tcPr>
          <w:p w14:paraId="66D57ED3" w14:textId="77777777" w:rsidR="005A5360" w:rsidRPr="00CB4504" w:rsidRDefault="00312F57" w:rsidP="007B60CB">
            <w:pPr>
              <w:jc w:val="both"/>
            </w:pPr>
            <w:r w:rsidRPr="00CB4504">
              <w:rPr>
                <w:iCs/>
              </w:rPr>
              <w:t>Залишення існуючої на даний момент ситуації без змін</w:t>
            </w:r>
          </w:p>
        </w:tc>
        <w:tc>
          <w:tcPr>
            <w:tcW w:w="7293" w:type="dxa"/>
            <w:shd w:val="clear" w:color="auto" w:fill="auto"/>
          </w:tcPr>
          <w:p w14:paraId="276F53B3" w14:textId="77777777" w:rsidR="002D526E" w:rsidRPr="002D526E" w:rsidRDefault="0019254A" w:rsidP="002D526E">
            <w:r w:rsidRPr="008C467E">
              <w:t>Н</w:t>
            </w:r>
            <w:r w:rsidR="0063558C" w:rsidRPr="008C467E">
              <w:t>е забезпечує досягнення ціл</w:t>
            </w:r>
            <w:r w:rsidR="00B913F5" w:rsidRPr="008C467E">
              <w:t>і</w:t>
            </w:r>
            <w:r w:rsidR="0063558C" w:rsidRPr="008C467E">
              <w:t>;</w:t>
            </w:r>
            <w:r w:rsidR="00CB1218" w:rsidRPr="008C467E">
              <w:t xml:space="preserve"> </w:t>
            </w:r>
            <w:r w:rsidR="00A9036B" w:rsidRPr="008C467E">
              <w:t>Залишаються проблемними питання</w:t>
            </w:r>
            <w:r w:rsidR="008C467E" w:rsidRPr="008C467E">
              <w:rPr>
                <w:lang w:val="ru-RU"/>
              </w:rPr>
              <w:t xml:space="preserve"> щодо </w:t>
            </w:r>
            <w:r w:rsidR="004E730D">
              <w:rPr>
                <w:lang w:val="ru-RU"/>
              </w:rPr>
              <w:t xml:space="preserve">наявності </w:t>
            </w:r>
            <w:r w:rsidR="004E730D" w:rsidRPr="004E730D">
              <w:t>низк</w:t>
            </w:r>
            <w:r w:rsidR="004E730D">
              <w:t>и</w:t>
            </w:r>
            <w:r w:rsidR="004E730D" w:rsidRPr="004E730D">
              <w:t xml:space="preserve"> проблем, пов’язаних з імплементацією</w:t>
            </w:r>
            <w:r w:rsidR="004E730D">
              <w:t xml:space="preserve"> Закону про ліцензування</w:t>
            </w:r>
            <w:r w:rsidR="004E730D" w:rsidRPr="004E730D">
              <w:t>, недосконалість використаних норм та застосованих процедур</w:t>
            </w:r>
            <w:r w:rsidR="00B271C3">
              <w:t>.</w:t>
            </w:r>
            <w:r w:rsidR="004E730D" w:rsidRPr="004E730D">
              <w:t xml:space="preserve"> </w:t>
            </w:r>
            <w:r w:rsidR="002D526E" w:rsidRPr="002D526E">
              <w:t xml:space="preserve">Зважаючи на те, що орієнтовна кількість ліцензіатів з різних сфер господарської діяльності, складає </w:t>
            </w:r>
            <w:r w:rsidR="002D526E" w:rsidRPr="00C7561B">
              <w:t>близько 162571 суб</w:t>
            </w:r>
            <w:r w:rsidR="002D526E" w:rsidRPr="002D526E">
              <w:t>’єктів, відповідно додаткові витрати на адміністративно-організаційні заходи, що виникають у зв’язку з недосконалим регулюванням сяга</w:t>
            </w:r>
            <w:r w:rsidR="00B271C3">
              <w:t>ють</w:t>
            </w:r>
            <w:r w:rsidR="002D526E" w:rsidRPr="002D526E">
              <w:t xml:space="preserve"> більше1 млрд. грн. в рік.</w:t>
            </w:r>
          </w:p>
          <w:p w14:paraId="74EAB4D8" w14:textId="77777777" w:rsidR="002D526E" w:rsidRPr="002D526E" w:rsidRDefault="002D526E" w:rsidP="002D526E">
            <w:pPr>
              <w:jc w:val="both"/>
            </w:pPr>
          </w:p>
          <w:p w14:paraId="6B28B2DC" w14:textId="77777777" w:rsidR="00411E0F" w:rsidRPr="00C7561B" w:rsidRDefault="00411E0F" w:rsidP="00CB1218">
            <w:pPr>
              <w:jc w:val="both"/>
            </w:pPr>
          </w:p>
          <w:p w14:paraId="13628D72" w14:textId="77777777" w:rsidR="00297EDF" w:rsidRPr="00A86C93" w:rsidRDefault="00297EDF" w:rsidP="00E35FB3">
            <w:pPr>
              <w:jc w:val="both"/>
              <w:rPr>
                <w:color w:val="FF0000"/>
              </w:rPr>
            </w:pPr>
          </w:p>
        </w:tc>
      </w:tr>
      <w:tr w:rsidR="00CB4504" w:rsidRPr="00CB4504" w14:paraId="1F3DAB69" w14:textId="77777777" w:rsidTr="00E35FB3">
        <w:trPr>
          <w:trHeight w:val="1169"/>
        </w:trPr>
        <w:tc>
          <w:tcPr>
            <w:tcW w:w="2934" w:type="dxa"/>
            <w:shd w:val="clear" w:color="auto" w:fill="auto"/>
          </w:tcPr>
          <w:p w14:paraId="11F02E0D" w14:textId="77777777" w:rsidR="005A5360" w:rsidRPr="00CB4504" w:rsidRDefault="00A86C93" w:rsidP="0063558C">
            <w:r>
              <w:t>Внесення змін до існуючого регулювання</w:t>
            </w:r>
          </w:p>
        </w:tc>
        <w:tc>
          <w:tcPr>
            <w:tcW w:w="7293" w:type="dxa"/>
            <w:shd w:val="clear" w:color="auto" w:fill="auto"/>
          </w:tcPr>
          <w:p w14:paraId="40D114B9" w14:textId="77777777" w:rsidR="00A62A05" w:rsidRDefault="00411E0F" w:rsidP="008C467E">
            <w:pPr>
              <w:jc w:val="both"/>
            </w:pPr>
            <w:bookmarkStart w:id="2" w:name="_Hlk502673183"/>
            <w:r w:rsidRPr="008C467E">
              <w:t>П</w:t>
            </w:r>
            <w:r w:rsidR="0063558C" w:rsidRPr="008C467E">
              <w:t>овністю відповідає потребам у вирішенні проблеми</w:t>
            </w:r>
            <w:r w:rsidR="008C467E">
              <w:t xml:space="preserve">, оскільки запроваджуватимуться механізми, зокрема щодо: </w:t>
            </w:r>
          </w:p>
          <w:p w14:paraId="377670F6" w14:textId="77777777" w:rsidR="00A62A05" w:rsidRDefault="00A62A05" w:rsidP="008C467E">
            <w:pPr>
              <w:jc w:val="both"/>
            </w:pPr>
            <w:r>
              <w:t xml:space="preserve">- </w:t>
            </w:r>
            <w:r w:rsidR="008C467E" w:rsidRPr="008C467E">
              <w:t>заборони вимагання органами ліцензування надання документів в паперовому чи електронному вигляді, які підтверджують внесення ліцензіатами плати за видачу ліцензій</w:t>
            </w:r>
            <w:r w:rsidR="008C467E">
              <w:t>;</w:t>
            </w:r>
          </w:p>
          <w:p w14:paraId="0B69C5C1" w14:textId="77777777" w:rsidR="0003369B" w:rsidRDefault="00A62A05" w:rsidP="008C467E">
            <w:pPr>
              <w:jc w:val="both"/>
            </w:pPr>
            <w:r>
              <w:rPr>
                <w:sz w:val="28"/>
                <w:szCs w:val="28"/>
                <w:lang w:eastAsia="uk-UA"/>
              </w:rPr>
              <w:t>-</w:t>
            </w:r>
            <w:r w:rsidR="008C467E" w:rsidRPr="008C467E">
              <w:rPr>
                <w:sz w:val="28"/>
                <w:szCs w:val="28"/>
                <w:lang w:eastAsia="uk-UA"/>
              </w:rPr>
              <w:t xml:space="preserve"> </w:t>
            </w:r>
            <w:r w:rsidR="008C467E" w:rsidRPr="008C467E">
              <w:t>нової адміністративно-господарської санкції у сфері ліцензування - зупинення дії ліцензії в повному обсязі або частково;</w:t>
            </w:r>
            <w:r w:rsidR="008C467E">
              <w:t xml:space="preserve"> </w:t>
            </w:r>
          </w:p>
          <w:p w14:paraId="6BA893B8" w14:textId="3FF2FA11" w:rsidR="00A62A05" w:rsidRDefault="00A62A05" w:rsidP="008C467E">
            <w:pPr>
              <w:jc w:val="both"/>
            </w:pPr>
            <w:r>
              <w:t>-</w:t>
            </w:r>
            <w:r w:rsidR="008C467E" w:rsidRPr="008C467E">
              <w:t xml:space="preserve"> порядку відновлення дії ліцензії, що була зупинена органом ліцензування;</w:t>
            </w:r>
            <w:r w:rsidR="008C467E">
              <w:t xml:space="preserve"> </w:t>
            </w:r>
          </w:p>
          <w:p w14:paraId="39E3246D" w14:textId="1CD6BBC5" w:rsidR="00A62A05" w:rsidRPr="00A62A05" w:rsidRDefault="00A62A05" w:rsidP="00A62A05">
            <w:pPr>
              <w:jc w:val="both"/>
            </w:pPr>
            <w:r>
              <w:t>-</w:t>
            </w:r>
            <w:r w:rsidRPr="00A62A05">
              <w:t xml:space="preserve"> порядку відновлення дії ліцензії, що була зупинена органом ліцензування;</w:t>
            </w:r>
          </w:p>
          <w:p w14:paraId="59F93845" w14:textId="3DE36D6B" w:rsidR="00A62A05" w:rsidRPr="00A62A05" w:rsidRDefault="00A62A05" w:rsidP="00A62A05">
            <w:pPr>
              <w:jc w:val="both"/>
            </w:pPr>
            <w:r>
              <w:t>-</w:t>
            </w:r>
            <w:bookmarkStart w:id="3" w:name="_GoBack"/>
            <w:bookmarkEnd w:id="3"/>
            <w:r w:rsidRPr="00A62A05">
              <w:t xml:space="preserve"> порядку оскарження ліцензіатом рішення органу ліцензування щодо зупинення дії ліцензії;</w:t>
            </w:r>
          </w:p>
          <w:p w14:paraId="48F0A4A1" w14:textId="6CE3A7A4" w:rsidR="00A62A05" w:rsidRPr="00A62A05" w:rsidRDefault="00A62A05" w:rsidP="00A62A05">
            <w:pPr>
              <w:jc w:val="both"/>
            </w:pPr>
            <w:r>
              <w:t>-</w:t>
            </w:r>
            <w:r w:rsidRPr="00A62A05">
              <w:t xml:space="preserve">врегулювання питань щодо повторного подання заяви про отримання ліцензії передбачивши, що до заяви про отримання ліцензії додаються лише ті підтвердні документи, які стали підставою для прийняття рішення про залишення заяви без розгляду, за умови, що попередньо подані документи, що знаходяться у ліцензійній </w:t>
            </w:r>
            <w:r w:rsidRPr="00A62A05">
              <w:lastRenderedPageBreak/>
              <w:t>справі, на момент подачі повторної заяви зберегли свою актуальність;</w:t>
            </w:r>
          </w:p>
          <w:p w14:paraId="52E88E1A" w14:textId="1B395646" w:rsidR="00A62A05" w:rsidRPr="00A62A05" w:rsidRDefault="00A62A05" w:rsidP="00A62A05">
            <w:pPr>
              <w:jc w:val="both"/>
            </w:pPr>
            <w:r>
              <w:t>-</w:t>
            </w:r>
            <w:r w:rsidRPr="00A62A05">
              <w:t>виключення підстави для анулювання ліцензії у випадку несплати ліцензіатом за видачу ліцензії.</w:t>
            </w:r>
          </w:p>
          <w:p w14:paraId="54F9A92F" w14:textId="77777777" w:rsidR="00B271C3" w:rsidRPr="00A62A05" w:rsidRDefault="00B271C3" w:rsidP="008C467E">
            <w:pPr>
              <w:jc w:val="both"/>
              <w:rPr>
                <w:b/>
              </w:rPr>
            </w:pPr>
            <w:r w:rsidRPr="00A62A05">
              <w:rPr>
                <w:b/>
              </w:rPr>
              <w:t xml:space="preserve">Сприятиме зменшенню фінансових витрат бізнесу близько </w:t>
            </w:r>
            <w:r w:rsidR="00484285" w:rsidRPr="00A62A05">
              <w:rPr>
                <w:b/>
              </w:rPr>
              <w:t>9</w:t>
            </w:r>
            <w:r w:rsidR="00746C6C" w:rsidRPr="00A62A05">
              <w:rPr>
                <w:b/>
              </w:rPr>
              <w:t xml:space="preserve">60 </w:t>
            </w:r>
            <w:r w:rsidR="00484285" w:rsidRPr="00A62A05">
              <w:rPr>
                <w:b/>
              </w:rPr>
              <w:t>млн.</w:t>
            </w:r>
            <w:r w:rsidRPr="00A62A05">
              <w:rPr>
                <w:b/>
              </w:rPr>
              <w:t>грн в рік.</w:t>
            </w:r>
          </w:p>
          <w:bookmarkEnd w:id="2"/>
          <w:p w14:paraId="08DC41D3" w14:textId="77777777" w:rsidR="0063558C" w:rsidRPr="008C467E" w:rsidRDefault="0063558C" w:rsidP="0063558C">
            <w:pPr>
              <w:jc w:val="both"/>
            </w:pPr>
          </w:p>
          <w:p w14:paraId="04D5F5A7" w14:textId="77777777" w:rsidR="005A5360" w:rsidRPr="00A86C93" w:rsidRDefault="005A5360" w:rsidP="0063558C">
            <w:pPr>
              <w:jc w:val="both"/>
              <w:rPr>
                <w:color w:val="FF0000"/>
              </w:rPr>
            </w:pPr>
          </w:p>
        </w:tc>
      </w:tr>
    </w:tbl>
    <w:p w14:paraId="1BE5A746" w14:textId="77777777" w:rsidR="005A5360" w:rsidRPr="00CB4504" w:rsidRDefault="005A5360" w:rsidP="00A7226B">
      <w:pPr>
        <w:pStyle w:val="ac"/>
        <w:ind w:firstLine="709"/>
        <w:jc w:val="both"/>
        <w:outlineLvl w:val="0"/>
        <w:rPr>
          <w:rFonts w:ascii="Times New Roman" w:hAnsi="Times New Roman"/>
          <w:bCs/>
          <w:sz w:val="16"/>
          <w:szCs w:val="16"/>
        </w:rPr>
      </w:pPr>
    </w:p>
    <w:p w14:paraId="544EF0E2" w14:textId="77777777" w:rsidR="005B728A" w:rsidRPr="00CB4504" w:rsidRDefault="005B728A" w:rsidP="005B728A">
      <w:pPr>
        <w:ind w:firstLine="709"/>
        <w:jc w:val="both"/>
        <w:rPr>
          <w:sz w:val="28"/>
          <w:szCs w:val="28"/>
          <w:shd w:val="clear" w:color="auto" w:fill="FFFFFF"/>
        </w:rPr>
      </w:pPr>
      <w:r w:rsidRPr="00CB4504">
        <w:rPr>
          <w:sz w:val="28"/>
          <w:szCs w:val="28"/>
          <w:shd w:val="clear" w:color="auto" w:fill="FFFFFF"/>
        </w:rPr>
        <w:t>2. Оцінка вибраних альтернативних способів досягнення цілей</w:t>
      </w:r>
    </w:p>
    <w:p w14:paraId="737C00BD" w14:textId="77777777" w:rsidR="005B728A" w:rsidRPr="00CB4504" w:rsidRDefault="005B728A" w:rsidP="005B728A">
      <w:pPr>
        <w:ind w:firstLine="709"/>
        <w:jc w:val="both"/>
        <w:rPr>
          <w:sz w:val="16"/>
          <w:szCs w:val="16"/>
          <w:shd w:val="clear" w:color="auto" w:fill="FFFFFF"/>
        </w:rPr>
      </w:pPr>
    </w:p>
    <w:p w14:paraId="77354F6A" w14:textId="77777777" w:rsidR="005B728A" w:rsidRPr="00CB4504" w:rsidRDefault="005B728A" w:rsidP="005B728A">
      <w:pPr>
        <w:ind w:firstLine="709"/>
        <w:jc w:val="both"/>
        <w:rPr>
          <w:sz w:val="28"/>
          <w:szCs w:val="28"/>
          <w:shd w:val="clear" w:color="auto" w:fill="FFFFFF"/>
        </w:rPr>
      </w:pPr>
      <w:r w:rsidRPr="00CB4504">
        <w:rPr>
          <w:sz w:val="28"/>
          <w:szCs w:val="28"/>
          <w:shd w:val="clear" w:color="auto" w:fill="FFFFFF"/>
        </w:rPr>
        <w:t>Оцінка впливу на сферу інтересів держави</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929"/>
        <w:gridCol w:w="4386"/>
      </w:tblGrid>
      <w:tr w:rsidR="00F1478C" w:rsidRPr="00CB4504" w14:paraId="29FFE73F" w14:textId="77777777" w:rsidTr="00E35FB3">
        <w:tc>
          <w:tcPr>
            <w:tcW w:w="2912" w:type="dxa"/>
            <w:shd w:val="clear" w:color="auto" w:fill="auto"/>
          </w:tcPr>
          <w:p w14:paraId="53347FFB" w14:textId="77777777" w:rsidR="005B728A" w:rsidRPr="00CB4504" w:rsidRDefault="005B728A" w:rsidP="007B60CB">
            <w:pPr>
              <w:jc w:val="center"/>
            </w:pPr>
            <w:r w:rsidRPr="00CB4504">
              <w:t>Вид альтернативи</w:t>
            </w:r>
          </w:p>
        </w:tc>
        <w:tc>
          <w:tcPr>
            <w:tcW w:w="2929" w:type="dxa"/>
            <w:shd w:val="clear" w:color="auto" w:fill="auto"/>
          </w:tcPr>
          <w:p w14:paraId="201E9E5F" w14:textId="77777777" w:rsidR="005B728A" w:rsidRPr="00CB4504" w:rsidRDefault="005B728A" w:rsidP="007B60CB">
            <w:pPr>
              <w:jc w:val="center"/>
            </w:pPr>
            <w:r w:rsidRPr="00CB4504">
              <w:t xml:space="preserve">Вигоди </w:t>
            </w:r>
          </w:p>
        </w:tc>
        <w:tc>
          <w:tcPr>
            <w:tcW w:w="4386" w:type="dxa"/>
            <w:shd w:val="clear" w:color="auto" w:fill="auto"/>
          </w:tcPr>
          <w:p w14:paraId="51AE625A" w14:textId="77777777" w:rsidR="005B728A" w:rsidRPr="00CB4504" w:rsidRDefault="005B728A" w:rsidP="007B60CB">
            <w:pPr>
              <w:jc w:val="center"/>
            </w:pPr>
            <w:r w:rsidRPr="00CB4504">
              <w:t xml:space="preserve">Витрати </w:t>
            </w:r>
          </w:p>
        </w:tc>
      </w:tr>
      <w:tr w:rsidR="00F1478C" w:rsidRPr="00CB4504" w14:paraId="6887D770" w14:textId="77777777" w:rsidTr="00E35FB3">
        <w:tc>
          <w:tcPr>
            <w:tcW w:w="2912" w:type="dxa"/>
            <w:shd w:val="clear" w:color="auto" w:fill="auto"/>
          </w:tcPr>
          <w:p w14:paraId="5957197A" w14:textId="77777777" w:rsidR="0063558C" w:rsidRPr="00CB4504" w:rsidRDefault="0063558C" w:rsidP="007B60CB">
            <w:pPr>
              <w:jc w:val="both"/>
            </w:pPr>
            <w:r w:rsidRPr="00CB4504">
              <w:rPr>
                <w:iCs/>
              </w:rPr>
              <w:t>Залишення існуючої на даний момент ситуації без змін</w:t>
            </w:r>
          </w:p>
        </w:tc>
        <w:tc>
          <w:tcPr>
            <w:tcW w:w="2929" w:type="dxa"/>
            <w:shd w:val="clear" w:color="auto" w:fill="auto"/>
          </w:tcPr>
          <w:p w14:paraId="7D7942FF" w14:textId="77777777" w:rsidR="0063558C" w:rsidRPr="00CB4504" w:rsidRDefault="00DE3742" w:rsidP="0063558C">
            <w:pPr>
              <w:autoSpaceDE w:val="0"/>
              <w:autoSpaceDN w:val="0"/>
              <w:adjustRightInd w:val="0"/>
              <w:jc w:val="center"/>
              <w:rPr>
                <w:spacing w:val="-4"/>
              </w:rPr>
            </w:pPr>
            <w:r w:rsidRPr="00CB4504">
              <w:rPr>
                <w:spacing w:val="-4"/>
              </w:rPr>
              <w:t>Відсутні</w:t>
            </w:r>
            <w:r w:rsidR="0019254A" w:rsidRPr="00CB4504">
              <w:rPr>
                <w:spacing w:val="-4"/>
              </w:rPr>
              <w:t>.</w:t>
            </w:r>
          </w:p>
        </w:tc>
        <w:tc>
          <w:tcPr>
            <w:tcW w:w="4386" w:type="dxa"/>
            <w:shd w:val="clear" w:color="auto" w:fill="auto"/>
          </w:tcPr>
          <w:p w14:paraId="300C1D22" w14:textId="77777777" w:rsidR="00EA4B94" w:rsidRPr="00030E08" w:rsidRDefault="001664FA" w:rsidP="0063558C">
            <w:pPr>
              <w:autoSpaceDE w:val="0"/>
              <w:autoSpaceDN w:val="0"/>
              <w:adjustRightInd w:val="0"/>
              <w:jc w:val="both"/>
              <w:rPr>
                <w:spacing w:val="-4"/>
              </w:rPr>
            </w:pPr>
            <w:r w:rsidRPr="00030E08">
              <w:rPr>
                <w:spacing w:val="-4"/>
              </w:rPr>
              <w:t>В</w:t>
            </w:r>
            <w:r w:rsidR="00EA4B94" w:rsidRPr="00030E08">
              <w:rPr>
                <w:spacing w:val="-4"/>
              </w:rPr>
              <w:t>итрати на адміністрування</w:t>
            </w:r>
            <w:r w:rsidR="00411E0F" w:rsidRPr="00030E08">
              <w:rPr>
                <w:spacing w:val="-4"/>
              </w:rPr>
              <w:t xml:space="preserve"> </w:t>
            </w:r>
            <w:r w:rsidR="008F031F" w:rsidRPr="00030E08">
              <w:rPr>
                <w:spacing w:val="-4"/>
              </w:rPr>
              <w:t>процедури ліцензування</w:t>
            </w:r>
            <w:r w:rsidR="0095375D">
              <w:rPr>
                <w:spacing w:val="-4"/>
              </w:rPr>
              <w:t xml:space="preserve"> </w:t>
            </w:r>
            <w:r w:rsidR="0095375D" w:rsidRPr="0095375D">
              <w:rPr>
                <w:spacing w:val="-4"/>
              </w:rPr>
              <w:t>Відповідно до асигнувань, які щорічно затверджуються в Законі України «Про Державний бюджет України».</w:t>
            </w:r>
          </w:p>
          <w:p w14:paraId="5BC67BCA" w14:textId="77777777" w:rsidR="00C563A4" w:rsidRPr="00030E08" w:rsidRDefault="00C563A4" w:rsidP="0063558C">
            <w:pPr>
              <w:autoSpaceDE w:val="0"/>
              <w:autoSpaceDN w:val="0"/>
              <w:adjustRightInd w:val="0"/>
              <w:jc w:val="both"/>
              <w:rPr>
                <w:spacing w:val="-4"/>
              </w:rPr>
            </w:pPr>
          </w:p>
        </w:tc>
      </w:tr>
      <w:tr w:rsidR="00F1478C" w:rsidRPr="00CB4504" w14:paraId="6B39CECF" w14:textId="77777777" w:rsidTr="00E35FB3">
        <w:tc>
          <w:tcPr>
            <w:tcW w:w="2912" w:type="dxa"/>
            <w:shd w:val="clear" w:color="auto" w:fill="auto"/>
          </w:tcPr>
          <w:p w14:paraId="3E60C279" w14:textId="77777777" w:rsidR="00E5380C" w:rsidRPr="00CB4504" w:rsidRDefault="00A86C93" w:rsidP="0063558C">
            <w:r>
              <w:t>Внесення змін до існуючого регулювання</w:t>
            </w:r>
          </w:p>
        </w:tc>
        <w:tc>
          <w:tcPr>
            <w:tcW w:w="2929" w:type="dxa"/>
            <w:shd w:val="clear" w:color="auto" w:fill="auto"/>
          </w:tcPr>
          <w:p w14:paraId="21116D2E" w14:textId="77777777" w:rsidR="00030E08" w:rsidRDefault="00030E08" w:rsidP="00030E08">
            <w:pPr>
              <w:jc w:val="both"/>
              <w:rPr>
                <w:spacing w:val="-4"/>
              </w:rPr>
            </w:pPr>
            <w:r w:rsidRPr="00030E08">
              <w:rPr>
                <w:spacing w:val="-4"/>
              </w:rPr>
              <w:t>Удосконалення вже запроваджених державою принципів та процедур ліцензування, з метою чіткого їх окреслення, усунення правових колізій та  унеможливлення порушення прав суб’єктів господарювання.</w:t>
            </w:r>
          </w:p>
          <w:p w14:paraId="349653A8" w14:textId="77777777" w:rsidR="00693C41" w:rsidRPr="00030E08" w:rsidRDefault="00693C41" w:rsidP="00030E08">
            <w:pPr>
              <w:jc w:val="both"/>
              <w:rPr>
                <w:spacing w:val="-4"/>
              </w:rPr>
            </w:pPr>
            <w:r>
              <w:rPr>
                <w:spacing w:val="-4"/>
              </w:rPr>
              <w:t>Покращення інвестиційного клімату.</w:t>
            </w:r>
          </w:p>
          <w:p w14:paraId="061414A0" w14:textId="77777777" w:rsidR="006B467D" w:rsidRPr="00CB4504" w:rsidRDefault="006B467D" w:rsidP="008F031F">
            <w:pPr>
              <w:jc w:val="both"/>
              <w:rPr>
                <w:spacing w:val="-4"/>
              </w:rPr>
            </w:pPr>
          </w:p>
        </w:tc>
        <w:tc>
          <w:tcPr>
            <w:tcW w:w="4386" w:type="dxa"/>
            <w:shd w:val="clear" w:color="auto" w:fill="auto"/>
          </w:tcPr>
          <w:p w14:paraId="4B67E144" w14:textId="77777777" w:rsidR="00BA6007" w:rsidRPr="00030E08" w:rsidRDefault="005F7B16" w:rsidP="001664FA">
            <w:pPr>
              <w:autoSpaceDE w:val="0"/>
              <w:autoSpaceDN w:val="0"/>
              <w:adjustRightInd w:val="0"/>
              <w:jc w:val="both"/>
              <w:rPr>
                <w:spacing w:val="-4"/>
              </w:rPr>
            </w:pPr>
            <w:r w:rsidRPr="00030E08">
              <w:rPr>
                <w:spacing w:val="-4"/>
              </w:rPr>
              <w:t>Додатков</w:t>
            </w:r>
            <w:r w:rsidR="00030E08" w:rsidRPr="00030E08">
              <w:rPr>
                <w:spacing w:val="-4"/>
              </w:rPr>
              <w:t>их</w:t>
            </w:r>
            <w:r w:rsidRPr="00030E08">
              <w:rPr>
                <w:spacing w:val="-4"/>
              </w:rPr>
              <w:t xml:space="preserve"> витрат не прогнозуються</w:t>
            </w:r>
            <w:r w:rsidR="00030E08" w:rsidRPr="00030E08">
              <w:rPr>
                <w:spacing w:val="-4"/>
              </w:rPr>
              <w:t>.</w:t>
            </w:r>
          </w:p>
        </w:tc>
      </w:tr>
    </w:tbl>
    <w:p w14:paraId="23BFC4A0" w14:textId="77777777" w:rsidR="004148D1" w:rsidRPr="00CB4504" w:rsidRDefault="004148D1" w:rsidP="00E5380C">
      <w:pPr>
        <w:ind w:firstLine="709"/>
        <w:jc w:val="both"/>
        <w:rPr>
          <w:sz w:val="16"/>
          <w:szCs w:val="16"/>
          <w:shd w:val="clear" w:color="auto" w:fill="FFFFFF"/>
        </w:rPr>
      </w:pPr>
    </w:p>
    <w:p w14:paraId="0EE6F77C" w14:textId="77777777" w:rsidR="00E5380C" w:rsidRPr="00CB4504" w:rsidRDefault="00E5380C" w:rsidP="00E5380C">
      <w:pPr>
        <w:ind w:firstLine="709"/>
        <w:jc w:val="both"/>
        <w:rPr>
          <w:sz w:val="28"/>
          <w:szCs w:val="28"/>
          <w:shd w:val="clear" w:color="auto" w:fill="FFFFFF"/>
        </w:rPr>
      </w:pPr>
      <w:r w:rsidRPr="00CB4504">
        <w:rPr>
          <w:sz w:val="28"/>
          <w:szCs w:val="28"/>
          <w:shd w:val="clear" w:color="auto" w:fill="FFFFFF"/>
        </w:rPr>
        <w:t>Оцінка впливу на сферу інтересів громадян</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2640"/>
        <w:gridCol w:w="4384"/>
      </w:tblGrid>
      <w:tr w:rsidR="00CB4504" w:rsidRPr="00CB4504" w14:paraId="2F4D1B2C" w14:textId="77777777" w:rsidTr="00E35FB3">
        <w:tc>
          <w:tcPr>
            <w:tcW w:w="3203" w:type="dxa"/>
            <w:shd w:val="clear" w:color="auto" w:fill="auto"/>
          </w:tcPr>
          <w:p w14:paraId="4DB0FCDA" w14:textId="77777777" w:rsidR="00E5380C" w:rsidRPr="00CB4504" w:rsidRDefault="00E5380C" w:rsidP="007B60CB">
            <w:pPr>
              <w:jc w:val="center"/>
            </w:pPr>
            <w:r w:rsidRPr="00CB4504">
              <w:t>Вид альтернативи</w:t>
            </w:r>
          </w:p>
        </w:tc>
        <w:tc>
          <w:tcPr>
            <w:tcW w:w="2640" w:type="dxa"/>
            <w:shd w:val="clear" w:color="auto" w:fill="auto"/>
          </w:tcPr>
          <w:p w14:paraId="19E128DD" w14:textId="77777777" w:rsidR="00E5380C" w:rsidRPr="00CB4504" w:rsidRDefault="00E5380C" w:rsidP="007B60CB">
            <w:pPr>
              <w:jc w:val="center"/>
            </w:pPr>
            <w:r w:rsidRPr="00CB4504">
              <w:t xml:space="preserve">Вигоди </w:t>
            </w:r>
          </w:p>
        </w:tc>
        <w:tc>
          <w:tcPr>
            <w:tcW w:w="4384" w:type="dxa"/>
            <w:shd w:val="clear" w:color="auto" w:fill="auto"/>
          </w:tcPr>
          <w:p w14:paraId="6DE96ED0" w14:textId="77777777" w:rsidR="00E5380C" w:rsidRPr="00CB4504" w:rsidRDefault="00E5380C" w:rsidP="007B60CB">
            <w:pPr>
              <w:jc w:val="center"/>
            </w:pPr>
            <w:r w:rsidRPr="00CB4504">
              <w:t xml:space="preserve">Витрати </w:t>
            </w:r>
          </w:p>
        </w:tc>
      </w:tr>
      <w:tr w:rsidR="00CB4504" w:rsidRPr="00CB4504" w14:paraId="7D650371" w14:textId="77777777" w:rsidTr="00E35FB3">
        <w:tc>
          <w:tcPr>
            <w:tcW w:w="3203" w:type="dxa"/>
            <w:shd w:val="clear" w:color="auto" w:fill="auto"/>
          </w:tcPr>
          <w:p w14:paraId="3C183955" w14:textId="77777777" w:rsidR="0063558C" w:rsidRPr="00CB4504" w:rsidRDefault="0063558C" w:rsidP="007B60CB">
            <w:pPr>
              <w:jc w:val="both"/>
            </w:pPr>
            <w:r w:rsidRPr="00CB4504">
              <w:rPr>
                <w:iCs/>
              </w:rPr>
              <w:t>Залишення існуючої на даний момент ситуації без змін</w:t>
            </w:r>
          </w:p>
        </w:tc>
        <w:tc>
          <w:tcPr>
            <w:tcW w:w="2640" w:type="dxa"/>
            <w:shd w:val="clear" w:color="auto" w:fill="auto"/>
          </w:tcPr>
          <w:p w14:paraId="085C3D43" w14:textId="77777777" w:rsidR="0063558C" w:rsidRPr="00CB4504" w:rsidRDefault="0019254A" w:rsidP="001A5075">
            <w:r w:rsidRPr="00CB4504">
              <w:t>В</w:t>
            </w:r>
            <w:r w:rsidR="0063558C" w:rsidRPr="00CB4504">
              <w:t>ідсутні</w:t>
            </w:r>
            <w:r w:rsidRPr="00CB4504">
              <w:t>.</w:t>
            </w:r>
          </w:p>
        </w:tc>
        <w:tc>
          <w:tcPr>
            <w:tcW w:w="4384" w:type="dxa"/>
            <w:shd w:val="clear" w:color="auto" w:fill="auto"/>
          </w:tcPr>
          <w:p w14:paraId="55A6DC79" w14:textId="77777777" w:rsidR="00411E0F" w:rsidRPr="00CB4504" w:rsidRDefault="00A86C93">
            <w:r w:rsidRPr="00A86C93">
              <w:t>Відсутні.</w:t>
            </w:r>
          </w:p>
        </w:tc>
      </w:tr>
      <w:tr w:rsidR="00CB4504" w:rsidRPr="00CB4504" w14:paraId="1495794C" w14:textId="77777777" w:rsidTr="00E35FB3">
        <w:tc>
          <w:tcPr>
            <w:tcW w:w="3203" w:type="dxa"/>
            <w:shd w:val="clear" w:color="auto" w:fill="auto"/>
          </w:tcPr>
          <w:p w14:paraId="2741FF10" w14:textId="77777777" w:rsidR="00E5380C" w:rsidRPr="00CB4504" w:rsidRDefault="00A86C93" w:rsidP="0063558C">
            <w:r>
              <w:t>Внесення змін до існуючого регулювання</w:t>
            </w:r>
          </w:p>
        </w:tc>
        <w:tc>
          <w:tcPr>
            <w:tcW w:w="2640" w:type="dxa"/>
            <w:shd w:val="clear" w:color="auto" w:fill="auto"/>
          </w:tcPr>
          <w:p w14:paraId="29E2C9C7" w14:textId="77777777" w:rsidR="003312AF" w:rsidRPr="00CB4504" w:rsidRDefault="00A86C93" w:rsidP="00A86C93">
            <w:pPr>
              <w:autoSpaceDE w:val="0"/>
              <w:autoSpaceDN w:val="0"/>
              <w:adjustRightInd w:val="0"/>
              <w:jc w:val="both"/>
              <w:rPr>
                <w:spacing w:val="-4"/>
              </w:rPr>
            </w:pPr>
            <w:r w:rsidRPr="00A86C93">
              <w:rPr>
                <w:spacing w:val="-4"/>
              </w:rPr>
              <w:t>Відсутні.</w:t>
            </w:r>
          </w:p>
        </w:tc>
        <w:tc>
          <w:tcPr>
            <w:tcW w:w="4384" w:type="dxa"/>
            <w:shd w:val="clear" w:color="auto" w:fill="auto"/>
          </w:tcPr>
          <w:p w14:paraId="7C639D46" w14:textId="77777777" w:rsidR="00EA20F5" w:rsidRPr="00CB4504" w:rsidRDefault="00A86C93" w:rsidP="00BA6007">
            <w:pPr>
              <w:autoSpaceDE w:val="0"/>
              <w:autoSpaceDN w:val="0"/>
              <w:adjustRightInd w:val="0"/>
              <w:jc w:val="both"/>
              <w:rPr>
                <w:spacing w:val="-4"/>
              </w:rPr>
            </w:pPr>
            <w:r w:rsidRPr="00A86C93">
              <w:rPr>
                <w:spacing w:val="-4"/>
              </w:rPr>
              <w:t>Відсутні.</w:t>
            </w:r>
          </w:p>
        </w:tc>
      </w:tr>
    </w:tbl>
    <w:p w14:paraId="455B1D9E" w14:textId="77777777" w:rsidR="00E5380C" w:rsidRPr="00CB4504" w:rsidRDefault="00E5380C" w:rsidP="00A7226B">
      <w:pPr>
        <w:pStyle w:val="ac"/>
        <w:ind w:firstLine="709"/>
        <w:jc w:val="both"/>
        <w:outlineLvl w:val="0"/>
        <w:rPr>
          <w:rFonts w:ascii="Times New Roman" w:hAnsi="Times New Roman"/>
          <w:bCs/>
          <w:sz w:val="28"/>
          <w:szCs w:val="28"/>
        </w:rPr>
      </w:pPr>
    </w:p>
    <w:p w14:paraId="538C1B67" w14:textId="77777777" w:rsidR="00BD2CF2" w:rsidRPr="00CB4504" w:rsidRDefault="00BD2CF2" w:rsidP="00BD2CF2">
      <w:pPr>
        <w:ind w:firstLine="709"/>
        <w:jc w:val="both"/>
        <w:rPr>
          <w:sz w:val="28"/>
          <w:szCs w:val="28"/>
          <w:shd w:val="clear" w:color="auto" w:fill="FFFFFF"/>
        </w:rPr>
      </w:pPr>
      <w:r w:rsidRPr="00CB4504">
        <w:rPr>
          <w:sz w:val="28"/>
          <w:szCs w:val="28"/>
          <w:shd w:val="clear" w:color="auto" w:fill="FFFFFF"/>
        </w:rPr>
        <w:t>Оцінка впливу на сферу інтересів суб’єктів господарювання</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432"/>
        <w:gridCol w:w="1454"/>
        <w:gridCol w:w="1398"/>
        <w:gridCol w:w="1423"/>
        <w:gridCol w:w="1279"/>
      </w:tblGrid>
      <w:tr w:rsidR="001333BB" w:rsidRPr="00CB4504" w14:paraId="010FFAF5" w14:textId="77777777" w:rsidTr="00CA761C">
        <w:tc>
          <w:tcPr>
            <w:tcW w:w="3318" w:type="dxa"/>
            <w:shd w:val="clear" w:color="auto" w:fill="auto"/>
          </w:tcPr>
          <w:p w14:paraId="41041290" w14:textId="77777777" w:rsidR="00BD2CF2" w:rsidRPr="00CB4504" w:rsidRDefault="00BD2CF2" w:rsidP="007B60CB">
            <w:pPr>
              <w:jc w:val="center"/>
              <w:rPr>
                <w:shd w:val="clear" w:color="auto" w:fill="FFFFFF"/>
              </w:rPr>
            </w:pPr>
            <w:r w:rsidRPr="00CB4504">
              <w:rPr>
                <w:shd w:val="clear" w:color="auto" w:fill="FFFFFF"/>
              </w:rPr>
              <w:t>Показник</w:t>
            </w:r>
          </w:p>
        </w:tc>
        <w:tc>
          <w:tcPr>
            <w:tcW w:w="1463" w:type="dxa"/>
            <w:shd w:val="clear" w:color="auto" w:fill="auto"/>
          </w:tcPr>
          <w:p w14:paraId="5448F77A" w14:textId="77777777" w:rsidR="00BD2CF2" w:rsidRPr="00CB4504" w:rsidRDefault="00BD2CF2" w:rsidP="007B60CB">
            <w:pPr>
              <w:jc w:val="center"/>
              <w:rPr>
                <w:shd w:val="clear" w:color="auto" w:fill="FFFFFF"/>
              </w:rPr>
            </w:pPr>
            <w:r w:rsidRPr="00CB4504">
              <w:rPr>
                <w:shd w:val="clear" w:color="auto" w:fill="FFFFFF"/>
              </w:rPr>
              <w:t>Великі</w:t>
            </w:r>
          </w:p>
        </w:tc>
        <w:tc>
          <w:tcPr>
            <w:tcW w:w="1480" w:type="dxa"/>
            <w:shd w:val="clear" w:color="auto" w:fill="auto"/>
          </w:tcPr>
          <w:p w14:paraId="0E4AE302" w14:textId="77777777" w:rsidR="00BD2CF2" w:rsidRPr="00CB4504" w:rsidRDefault="00BD2CF2" w:rsidP="007B60CB">
            <w:pPr>
              <w:jc w:val="center"/>
              <w:rPr>
                <w:shd w:val="clear" w:color="auto" w:fill="FFFFFF"/>
              </w:rPr>
            </w:pPr>
            <w:r w:rsidRPr="00CB4504">
              <w:rPr>
                <w:shd w:val="clear" w:color="auto" w:fill="FFFFFF"/>
              </w:rPr>
              <w:t>Середні</w:t>
            </w:r>
          </w:p>
        </w:tc>
        <w:tc>
          <w:tcPr>
            <w:tcW w:w="1439" w:type="dxa"/>
            <w:shd w:val="clear" w:color="auto" w:fill="auto"/>
          </w:tcPr>
          <w:p w14:paraId="69F3757A" w14:textId="77777777" w:rsidR="00BD2CF2" w:rsidRPr="00CB4504" w:rsidRDefault="00BD2CF2" w:rsidP="007B60CB">
            <w:pPr>
              <w:jc w:val="center"/>
              <w:rPr>
                <w:shd w:val="clear" w:color="auto" w:fill="FFFFFF"/>
              </w:rPr>
            </w:pPr>
            <w:r w:rsidRPr="00CB4504">
              <w:rPr>
                <w:shd w:val="clear" w:color="auto" w:fill="FFFFFF"/>
              </w:rPr>
              <w:t>Малі</w:t>
            </w:r>
          </w:p>
        </w:tc>
        <w:tc>
          <w:tcPr>
            <w:tcW w:w="1453" w:type="dxa"/>
            <w:shd w:val="clear" w:color="auto" w:fill="auto"/>
          </w:tcPr>
          <w:p w14:paraId="3BEEBA8A" w14:textId="77777777" w:rsidR="00BD2CF2" w:rsidRPr="00CB4504" w:rsidRDefault="00BD2CF2" w:rsidP="007B60CB">
            <w:pPr>
              <w:jc w:val="center"/>
              <w:rPr>
                <w:shd w:val="clear" w:color="auto" w:fill="FFFFFF"/>
              </w:rPr>
            </w:pPr>
            <w:r w:rsidRPr="00CB4504">
              <w:rPr>
                <w:shd w:val="clear" w:color="auto" w:fill="FFFFFF"/>
              </w:rPr>
              <w:t>Мікро</w:t>
            </w:r>
          </w:p>
        </w:tc>
        <w:tc>
          <w:tcPr>
            <w:tcW w:w="1300" w:type="dxa"/>
            <w:shd w:val="clear" w:color="auto" w:fill="auto"/>
          </w:tcPr>
          <w:p w14:paraId="50770537" w14:textId="77777777" w:rsidR="00BD2CF2" w:rsidRPr="00CB4504" w:rsidRDefault="00BD2CF2" w:rsidP="007B60CB">
            <w:pPr>
              <w:jc w:val="center"/>
              <w:rPr>
                <w:shd w:val="clear" w:color="auto" w:fill="FFFFFF"/>
              </w:rPr>
            </w:pPr>
            <w:r w:rsidRPr="00CB4504">
              <w:rPr>
                <w:shd w:val="clear" w:color="auto" w:fill="FFFFFF"/>
              </w:rPr>
              <w:t>Разом</w:t>
            </w:r>
          </w:p>
        </w:tc>
      </w:tr>
      <w:tr w:rsidR="001333BB" w:rsidRPr="00CB4504" w14:paraId="525593C2" w14:textId="77777777" w:rsidTr="00CA761C">
        <w:tc>
          <w:tcPr>
            <w:tcW w:w="3318" w:type="dxa"/>
            <w:shd w:val="clear" w:color="auto" w:fill="auto"/>
          </w:tcPr>
          <w:p w14:paraId="5D1B32AA" w14:textId="77777777" w:rsidR="00BD2CF2" w:rsidRPr="00CB4504" w:rsidRDefault="00BD2CF2" w:rsidP="007B60CB">
            <w:pPr>
              <w:jc w:val="both"/>
              <w:rPr>
                <w:shd w:val="clear" w:color="auto" w:fill="FFFFFF"/>
              </w:rPr>
            </w:pPr>
            <w:r w:rsidRPr="00CB4504">
              <w:rPr>
                <w:shd w:val="clear" w:color="auto" w:fill="FFFFFF"/>
              </w:rPr>
              <w:t>Кількість суб’єктів господарювання, що підпадають під дію регулювання, одиниць</w:t>
            </w:r>
          </w:p>
        </w:tc>
        <w:tc>
          <w:tcPr>
            <w:tcW w:w="1463" w:type="dxa"/>
            <w:shd w:val="clear" w:color="auto" w:fill="auto"/>
          </w:tcPr>
          <w:p w14:paraId="77737D4C" w14:textId="77777777" w:rsidR="00BD2CF2" w:rsidRPr="00CB4504" w:rsidRDefault="00B271C3" w:rsidP="007B60CB">
            <w:pPr>
              <w:jc w:val="center"/>
              <w:rPr>
                <w:shd w:val="clear" w:color="auto" w:fill="FFFFFF"/>
              </w:rPr>
            </w:pPr>
            <w:r>
              <w:rPr>
                <w:shd w:val="clear" w:color="auto" w:fill="FFFFFF"/>
              </w:rPr>
              <w:t>64</w:t>
            </w:r>
          </w:p>
        </w:tc>
        <w:tc>
          <w:tcPr>
            <w:tcW w:w="1480" w:type="dxa"/>
            <w:shd w:val="clear" w:color="auto" w:fill="auto"/>
          </w:tcPr>
          <w:p w14:paraId="249AB43D" w14:textId="77777777" w:rsidR="00BD2CF2" w:rsidRPr="00CB4504" w:rsidRDefault="00B271C3" w:rsidP="007B60CB">
            <w:pPr>
              <w:jc w:val="center"/>
              <w:rPr>
                <w:shd w:val="clear" w:color="auto" w:fill="FFFFFF"/>
              </w:rPr>
            </w:pPr>
            <w:r>
              <w:rPr>
                <w:shd w:val="clear" w:color="auto" w:fill="FFFFFF"/>
              </w:rPr>
              <w:t>2006</w:t>
            </w:r>
          </w:p>
        </w:tc>
        <w:tc>
          <w:tcPr>
            <w:tcW w:w="1439" w:type="dxa"/>
            <w:shd w:val="clear" w:color="auto" w:fill="auto"/>
          </w:tcPr>
          <w:p w14:paraId="5E0143BA" w14:textId="77777777" w:rsidR="00BD2CF2" w:rsidRPr="00CB4504" w:rsidRDefault="00B271C3" w:rsidP="007B60CB">
            <w:pPr>
              <w:jc w:val="center"/>
              <w:rPr>
                <w:shd w:val="clear" w:color="auto" w:fill="FFFFFF"/>
              </w:rPr>
            </w:pPr>
            <w:r>
              <w:rPr>
                <w:shd w:val="clear" w:color="auto" w:fill="FFFFFF"/>
              </w:rPr>
              <w:t>5121</w:t>
            </w:r>
          </w:p>
        </w:tc>
        <w:tc>
          <w:tcPr>
            <w:tcW w:w="1453" w:type="dxa"/>
            <w:shd w:val="clear" w:color="auto" w:fill="auto"/>
          </w:tcPr>
          <w:p w14:paraId="71901FEB" w14:textId="77777777" w:rsidR="00BD2CF2" w:rsidRPr="00CB4504" w:rsidRDefault="00B271C3" w:rsidP="007B60CB">
            <w:pPr>
              <w:jc w:val="center"/>
              <w:rPr>
                <w:shd w:val="clear" w:color="auto" w:fill="FFFFFF"/>
              </w:rPr>
            </w:pPr>
            <w:r>
              <w:rPr>
                <w:shd w:val="clear" w:color="auto" w:fill="FFFFFF"/>
              </w:rPr>
              <w:t>155380</w:t>
            </w:r>
          </w:p>
        </w:tc>
        <w:tc>
          <w:tcPr>
            <w:tcW w:w="1300" w:type="dxa"/>
            <w:shd w:val="clear" w:color="auto" w:fill="auto"/>
          </w:tcPr>
          <w:p w14:paraId="4125630C" w14:textId="77777777" w:rsidR="00BD2CF2" w:rsidRPr="00CB4504" w:rsidRDefault="00B271C3" w:rsidP="007B60CB">
            <w:pPr>
              <w:jc w:val="center"/>
              <w:rPr>
                <w:shd w:val="clear" w:color="auto" w:fill="FFFFFF"/>
              </w:rPr>
            </w:pPr>
            <w:r>
              <w:rPr>
                <w:shd w:val="clear" w:color="auto" w:fill="FFFFFF"/>
              </w:rPr>
              <w:t>162571</w:t>
            </w:r>
          </w:p>
        </w:tc>
      </w:tr>
      <w:tr w:rsidR="001333BB" w:rsidRPr="00CB4504" w14:paraId="5941B347" w14:textId="77777777" w:rsidTr="00CA761C">
        <w:tc>
          <w:tcPr>
            <w:tcW w:w="3318" w:type="dxa"/>
            <w:shd w:val="clear" w:color="auto" w:fill="auto"/>
          </w:tcPr>
          <w:p w14:paraId="38124F7F" w14:textId="77777777" w:rsidR="00BD2CF2" w:rsidRPr="00CB4504" w:rsidRDefault="00BD2CF2" w:rsidP="007B60CB">
            <w:pPr>
              <w:jc w:val="both"/>
              <w:rPr>
                <w:shd w:val="clear" w:color="auto" w:fill="FFFFFF"/>
              </w:rPr>
            </w:pPr>
            <w:r w:rsidRPr="00CB4504">
              <w:rPr>
                <w:shd w:val="clear" w:color="auto" w:fill="FFFFFF"/>
              </w:rPr>
              <w:t>Питома вага групи у загальній кількості, відсотків</w:t>
            </w:r>
          </w:p>
        </w:tc>
        <w:tc>
          <w:tcPr>
            <w:tcW w:w="1463" w:type="dxa"/>
            <w:shd w:val="clear" w:color="auto" w:fill="auto"/>
          </w:tcPr>
          <w:p w14:paraId="318082B2" w14:textId="77777777" w:rsidR="00BD2CF2" w:rsidRPr="00D20B8A" w:rsidRDefault="00D20B8A" w:rsidP="007B60CB">
            <w:pPr>
              <w:jc w:val="center"/>
              <w:rPr>
                <w:color w:val="000000" w:themeColor="text1"/>
                <w:shd w:val="clear" w:color="auto" w:fill="FFFFFF"/>
              </w:rPr>
            </w:pPr>
            <w:r w:rsidRPr="00D20B8A">
              <w:rPr>
                <w:color w:val="000000" w:themeColor="text1"/>
                <w:shd w:val="clear" w:color="auto" w:fill="FFFFFF"/>
              </w:rPr>
              <w:t>0,04</w:t>
            </w:r>
          </w:p>
        </w:tc>
        <w:tc>
          <w:tcPr>
            <w:tcW w:w="1480" w:type="dxa"/>
            <w:shd w:val="clear" w:color="auto" w:fill="auto"/>
          </w:tcPr>
          <w:p w14:paraId="2A22AC0D" w14:textId="77777777" w:rsidR="00BD2CF2" w:rsidRPr="00D20B8A" w:rsidRDefault="00D20B8A" w:rsidP="007B60CB">
            <w:pPr>
              <w:jc w:val="center"/>
              <w:rPr>
                <w:color w:val="000000" w:themeColor="text1"/>
                <w:shd w:val="clear" w:color="auto" w:fill="FFFFFF"/>
              </w:rPr>
            </w:pPr>
            <w:r w:rsidRPr="00D20B8A">
              <w:rPr>
                <w:color w:val="000000" w:themeColor="text1"/>
                <w:shd w:val="clear" w:color="auto" w:fill="FFFFFF"/>
              </w:rPr>
              <w:t>1,23</w:t>
            </w:r>
          </w:p>
        </w:tc>
        <w:tc>
          <w:tcPr>
            <w:tcW w:w="1439" w:type="dxa"/>
            <w:shd w:val="clear" w:color="auto" w:fill="auto"/>
          </w:tcPr>
          <w:p w14:paraId="0F2F29D8" w14:textId="77777777" w:rsidR="00BD2CF2" w:rsidRPr="00D20B8A" w:rsidRDefault="00D20B8A" w:rsidP="007B60CB">
            <w:pPr>
              <w:jc w:val="center"/>
              <w:rPr>
                <w:color w:val="000000" w:themeColor="text1"/>
                <w:shd w:val="clear" w:color="auto" w:fill="FFFFFF"/>
              </w:rPr>
            </w:pPr>
            <w:r w:rsidRPr="00D20B8A">
              <w:rPr>
                <w:color w:val="000000" w:themeColor="text1"/>
                <w:shd w:val="clear" w:color="auto" w:fill="FFFFFF"/>
              </w:rPr>
              <w:t>3,15</w:t>
            </w:r>
          </w:p>
        </w:tc>
        <w:tc>
          <w:tcPr>
            <w:tcW w:w="1453" w:type="dxa"/>
            <w:shd w:val="clear" w:color="auto" w:fill="auto"/>
          </w:tcPr>
          <w:p w14:paraId="1F650303" w14:textId="77777777" w:rsidR="00BD2CF2" w:rsidRPr="00D20B8A" w:rsidRDefault="00D20B8A" w:rsidP="007B60CB">
            <w:pPr>
              <w:jc w:val="center"/>
              <w:rPr>
                <w:color w:val="000000" w:themeColor="text1"/>
                <w:shd w:val="clear" w:color="auto" w:fill="FFFFFF"/>
              </w:rPr>
            </w:pPr>
            <w:r w:rsidRPr="00D20B8A">
              <w:rPr>
                <w:color w:val="000000" w:themeColor="text1"/>
                <w:shd w:val="clear" w:color="auto" w:fill="FFFFFF"/>
              </w:rPr>
              <w:t>95,58</w:t>
            </w:r>
          </w:p>
        </w:tc>
        <w:tc>
          <w:tcPr>
            <w:tcW w:w="1300" w:type="dxa"/>
            <w:shd w:val="clear" w:color="auto" w:fill="auto"/>
          </w:tcPr>
          <w:p w14:paraId="01313EC5" w14:textId="77777777" w:rsidR="00BD2CF2" w:rsidRPr="00D20B8A" w:rsidRDefault="00C706B8" w:rsidP="007B60CB">
            <w:pPr>
              <w:jc w:val="center"/>
              <w:rPr>
                <w:color w:val="000000" w:themeColor="text1"/>
                <w:shd w:val="clear" w:color="auto" w:fill="FFFFFF"/>
              </w:rPr>
            </w:pPr>
            <w:r w:rsidRPr="00D20B8A">
              <w:rPr>
                <w:color w:val="000000" w:themeColor="text1"/>
                <w:shd w:val="clear" w:color="auto" w:fill="FFFFFF"/>
              </w:rPr>
              <w:t>100%</w:t>
            </w:r>
          </w:p>
        </w:tc>
      </w:tr>
    </w:tbl>
    <w:p w14:paraId="48878EF9" w14:textId="77777777" w:rsidR="00CA6855" w:rsidRDefault="00CA6855" w:rsidP="003C59D3">
      <w:pPr>
        <w:ind w:left="-90" w:firstLine="799"/>
        <w:jc w:val="both"/>
        <w:rPr>
          <w:bCs/>
          <w:sz w:val="28"/>
          <w:szCs w:val="28"/>
        </w:rPr>
      </w:pPr>
    </w:p>
    <w:p w14:paraId="1384C625" w14:textId="77777777" w:rsidR="000C45A6" w:rsidRDefault="000C45A6" w:rsidP="00CE1562">
      <w:pPr>
        <w:ind w:left="-990" w:firstLine="990"/>
        <w:jc w:val="both"/>
        <w:rPr>
          <w:bCs/>
          <w:sz w:val="28"/>
          <w:szCs w:val="28"/>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2793"/>
        <w:gridCol w:w="4383"/>
      </w:tblGrid>
      <w:tr w:rsidR="00BE180E" w:rsidRPr="00CB4504" w14:paraId="4D957F87" w14:textId="77777777" w:rsidTr="00E35FB3">
        <w:tc>
          <w:tcPr>
            <w:tcW w:w="3051" w:type="dxa"/>
            <w:shd w:val="clear" w:color="auto" w:fill="auto"/>
          </w:tcPr>
          <w:p w14:paraId="67B22B31" w14:textId="77777777" w:rsidR="00A90F73" w:rsidRPr="00CB4504" w:rsidRDefault="00A90F73" w:rsidP="007B60CB">
            <w:pPr>
              <w:jc w:val="center"/>
            </w:pPr>
            <w:r w:rsidRPr="00CB4504">
              <w:t>Вид альтернативи</w:t>
            </w:r>
          </w:p>
        </w:tc>
        <w:tc>
          <w:tcPr>
            <w:tcW w:w="2793" w:type="dxa"/>
            <w:shd w:val="clear" w:color="auto" w:fill="auto"/>
          </w:tcPr>
          <w:p w14:paraId="392FE805" w14:textId="77777777" w:rsidR="00A90F73" w:rsidRPr="00CB4504" w:rsidRDefault="00A90F73" w:rsidP="007B60CB">
            <w:pPr>
              <w:jc w:val="center"/>
            </w:pPr>
            <w:r w:rsidRPr="00CB4504">
              <w:t xml:space="preserve">Вигоди </w:t>
            </w:r>
          </w:p>
        </w:tc>
        <w:tc>
          <w:tcPr>
            <w:tcW w:w="4383" w:type="dxa"/>
            <w:shd w:val="clear" w:color="auto" w:fill="auto"/>
          </w:tcPr>
          <w:p w14:paraId="7DE4CCE6" w14:textId="77777777" w:rsidR="00A90F73" w:rsidRPr="00CB4504" w:rsidRDefault="00A90F73" w:rsidP="007B60CB">
            <w:pPr>
              <w:jc w:val="center"/>
            </w:pPr>
            <w:r w:rsidRPr="00CB4504">
              <w:t xml:space="preserve">Витрати </w:t>
            </w:r>
          </w:p>
        </w:tc>
      </w:tr>
      <w:tr w:rsidR="00BE180E" w:rsidRPr="00CB4504" w14:paraId="34CE28A8" w14:textId="77777777" w:rsidTr="00E35FB3">
        <w:tc>
          <w:tcPr>
            <w:tcW w:w="3051" w:type="dxa"/>
            <w:shd w:val="clear" w:color="auto" w:fill="auto"/>
          </w:tcPr>
          <w:p w14:paraId="7B4A2E23" w14:textId="77777777" w:rsidR="003312AF" w:rsidRPr="00CB4504" w:rsidRDefault="003312AF" w:rsidP="007B60CB">
            <w:pPr>
              <w:jc w:val="both"/>
            </w:pPr>
            <w:r w:rsidRPr="00CB4504">
              <w:rPr>
                <w:iCs/>
              </w:rPr>
              <w:t>Залишення існуючої на даний момент ситуації без змін</w:t>
            </w:r>
          </w:p>
        </w:tc>
        <w:tc>
          <w:tcPr>
            <w:tcW w:w="2793" w:type="dxa"/>
            <w:shd w:val="clear" w:color="auto" w:fill="auto"/>
          </w:tcPr>
          <w:p w14:paraId="67D8FB95" w14:textId="77777777" w:rsidR="003312AF" w:rsidRPr="00CB4504" w:rsidRDefault="0019254A" w:rsidP="002A4612">
            <w:pPr>
              <w:jc w:val="center"/>
            </w:pPr>
            <w:r w:rsidRPr="00CB4504">
              <w:t>В</w:t>
            </w:r>
            <w:r w:rsidR="002A4612" w:rsidRPr="00CB4504">
              <w:t>ідсутні</w:t>
            </w:r>
            <w:r w:rsidRPr="00CB4504">
              <w:t>.</w:t>
            </w:r>
          </w:p>
        </w:tc>
        <w:tc>
          <w:tcPr>
            <w:tcW w:w="4383" w:type="dxa"/>
            <w:shd w:val="clear" w:color="auto" w:fill="auto"/>
          </w:tcPr>
          <w:p w14:paraId="0A388189" w14:textId="77777777" w:rsidR="001D2050" w:rsidRPr="004961B0" w:rsidRDefault="004961B0" w:rsidP="007B60CB">
            <w:pPr>
              <w:jc w:val="both"/>
            </w:pPr>
            <w:r w:rsidRPr="004961B0">
              <w:t>Призводить до значних фінансових витрат. Додаткові витрати для всіх с/г складають близько 1 млрд. грн в рік.</w:t>
            </w:r>
          </w:p>
        </w:tc>
      </w:tr>
      <w:tr w:rsidR="00BE180E" w:rsidRPr="00CB4504" w14:paraId="676A902F" w14:textId="77777777" w:rsidTr="00E35FB3">
        <w:tc>
          <w:tcPr>
            <w:tcW w:w="3051" w:type="dxa"/>
            <w:shd w:val="clear" w:color="auto" w:fill="auto"/>
          </w:tcPr>
          <w:p w14:paraId="63FA7E3C" w14:textId="77777777" w:rsidR="00A90F73" w:rsidRPr="00CB4504" w:rsidRDefault="00A86C93" w:rsidP="007B60CB">
            <w:r>
              <w:lastRenderedPageBreak/>
              <w:t>Внесення змін до існуючого регулювання</w:t>
            </w:r>
          </w:p>
        </w:tc>
        <w:tc>
          <w:tcPr>
            <w:tcW w:w="2793" w:type="dxa"/>
            <w:shd w:val="clear" w:color="auto" w:fill="auto"/>
          </w:tcPr>
          <w:p w14:paraId="1BC9AF65" w14:textId="77777777" w:rsidR="004961B0" w:rsidRPr="00693C41" w:rsidRDefault="004961B0" w:rsidP="004961B0">
            <w:pPr>
              <w:rPr>
                <w:b/>
                <w:shd w:val="clear" w:color="auto" w:fill="FFFFFF"/>
              </w:rPr>
            </w:pPr>
            <w:r w:rsidRPr="004961B0">
              <w:rPr>
                <w:shd w:val="clear" w:color="auto" w:fill="FFFFFF"/>
              </w:rPr>
              <w:t xml:space="preserve">Сприятиме зменшенню </w:t>
            </w:r>
            <w:r w:rsidRPr="00693C41">
              <w:rPr>
                <w:b/>
                <w:shd w:val="clear" w:color="auto" w:fill="FFFFFF"/>
              </w:rPr>
              <w:t xml:space="preserve">фінансових витрат бізнесу близько </w:t>
            </w:r>
            <w:r w:rsidR="00305EF5" w:rsidRPr="00693C41">
              <w:rPr>
                <w:b/>
                <w:shd w:val="clear" w:color="auto" w:fill="FFFFFF"/>
              </w:rPr>
              <w:t>9</w:t>
            </w:r>
            <w:r w:rsidR="00746C6C">
              <w:rPr>
                <w:b/>
                <w:shd w:val="clear" w:color="auto" w:fill="FFFFFF"/>
              </w:rPr>
              <w:t xml:space="preserve">60 </w:t>
            </w:r>
            <w:r w:rsidR="00305EF5" w:rsidRPr="00693C41">
              <w:rPr>
                <w:b/>
                <w:shd w:val="clear" w:color="auto" w:fill="FFFFFF"/>
              </w:rPr>
              <w:t>млн</w:t>
            </w:r>
            <w:r w:rsidRPr="00693C41">
              <w:rPr>
                <w:b/>
                <w:shd w:val="clear" w:color="auto" w:fill="FFFFFF"/>
              </w:rPr>
              <w:t xml:space="preserve">.грн в рік. За п’ять років економія для бізнесу буде близько </w:t>
            </w:r>
            <w:r w:rsidR="00CD0DB5">
              <w:rPr>
                <w:b/>
                <w:shd w:val="clear" w:color="auto" w:fill="FFFFFF"/>
              </w:rPr>
              <w:t xml:space="preserve">4,8 </w:t>
            </w:r>
            <w:r w:rsidRPr="00693C41">
              <w:rPr>
                <w:b/>
                <w:shd w:val="clear" w:color="auto" w:fill="FFFFFF"/>
              </w:rPr>
              <w:t>млрд. грн.</w:t>
            </w:r>
          </w:p>
          <w:p w14:paraId="235A893D" w14:textId="77777777" w:rsidR="00484285" w:rsidRPr="004961B0" w:rsidRDefault="00484285" w:rsidP="004961B0">
            <w:pPr>
              <w:rPr>
                <w:shd w:val="clear" w:color="auto" w:fill="FFFFFF"/>
              </w:rPr>
            </w:pPr>
            <w:r>
              <w:rPr>
                <w:shd w:val="clear" w:color="auto" w:fill="FFFFFF"/>
              </w:rPr>
              <w:t>Можливість направити вивільнені кошти на розвиток бізнесу.</w:t>
            </w:r>
          </w:p>
          <w:p w14:paraId="634FB0F1" w14:textId="77777777" w:rsidR="00A90F73" w:rsidRPr="00CB4504" w:rsidRDefault="00A90F73" w:rsidP="00A86C93">
            <w:pPr>
              <w:rPr>
                <w:shd w:val="clear" w:color="auto" w:fill="FFFFFF"/>
              </w:rPr>
            </w:pPr>
          </w:p>
        </w:tc>
        <w:tc>
          <w:tcPr>
            <w:tcW w:w="4383" w:type="dxa"/>
            <w:shd w:val="clear" w:color="auto" w:fill="auto"/>
          </w:tcPr>
          <w:p w14:paraId="0343E7D8" w14:textId="77777777" w:rsidR="00305EF5" w:rsidRPr="005958A2" w:rsidRDefault="00305EF5" w:rsidP="00305EF5">
            <w:pPr>
              <w:jc w:val="both"/>
              <w:rPr>
                <w:rFonts w:eastAsia="Calibri"/>
                <w:b/>
                <w:color w:val="000000"/>
                <w:szCs w:val="28"/>
                <w:shd w:val="clear" w:color="auto" w:fill="FFFFFF"/>
                <w:lang w:eastAsia="en-US"/>
              </w:rPr>
            </w:pPr>
            <w:r>
              <w:rPr>
                <w:rFonts w:eastAsia="Calibri"/>
                <w:color w:val="000000"/>
                <w:szCs w:val="28"/>
                <w:shd w:val="clear" w:color="auto" w:fill="FFFFFF"/>
                <w:lang w:eastAsia="en-US"/>
              </w:rPr>
              <w:t>Прогнозуються витрати на</w:t>
            </w:r>
            <w:r w:rsidR="00746C6C">
              <w:rPr>
                <w:rFonts w:eastAsia="Calibri"/>
                <w:color w:val="000000"/>
                <w:szCs w:val="28"/>
                <w:shd w:val="clear" w:color="auto" w:fill="FFFFFF"/>
                <w:lang w:eastAsia="en-US"/>
              </w:rPr>
              <w:t>:</w:t>
            </w:r>
            <w:r>
              <w:t xml:space="preserve"> </w:t>
            </w:r>
            <w:r>
              <w:rPr>
                <w:rFonts w:eastAsia="Calibri"/>
                <w:color w:val="000000"/>
                <w:szCs w:val="28"/>
                <w:shd w:val="clear" w:color="auto" w:fill="FFFFFF"/>
                <w:lang w:eastAsia="en-US"/>
              </w:rPr>
              <w:tab/>
              <w:t>ознайомлення</w:t>
            </w:r>
            <w:r w:rsidRPr="0021712B">
              <w:rPr>
                <w:rFonts w:eastAsia="Calibri"/>
                <w:color w:val="000000"/>
                <w:szCs w:val="28"/>
                <w:shd w:val="clear" w:color="auto" w:fill="FFFFFF"/>
                <w:lang w:eastAsia="en-US"/>
              </w:rPr>
              <w:t xml:space="preserve"> з вимогами регулювання (пошук та опрацювання регуля</w:t>
            </w:r>
            <w:r>
              <w:rPr>
                <w:rFonts w:eastAsia="Calibri"/>
                <w:color w:val="000000"/>
                <w:szCs w:val="28"/>
                <w:shd w:val="clear" w:color="auto" w:fill="FFFFFF"/>
                <w:lang w:eastAsia="en-US"/>
              </w:rPr>
              <w:t xml:space="preserve">торного акту в мережі Інтернет), а саме: </w:t>
            </w:r>
            <w:r w:rsidR="00FD608C">
              <w:rPr>
                <w:rFonts w:eastAsia="Calibri"/>
                <w:b/>
                <w:color w:val="000000"/>
                <w:szCs w:val="28"/>
                <w:shd w:val="clear" w:color="auto" w:fill="FFFFFF"/>
                <w:lang w:val="ru-RU" w:eastAsia="en-US"/>
              </w:rPr>
              <w:t>66,23</w:t>
            </w:r>
            <w:r w:rsidRPr="005958A2">
              <w:rPr>
                <w:rFonts w:eastAsia="Calibri"/>
                <w:b/>
                <w:color w:val="000000"/>
                <w:szCs w:val="28"/>
                <w:shd w:val="clear" w:color="auto" w:fill="FFFFFF"/>
                <w:lang w:eastAsia="en-US"/>
              </w:rPr>
              <w:t xml:space="preserve"> грн на одного суб’єкта господарювання.</w:t>
            </w:r>
          </w:p>
          <w:p w14:paraId="5F21F839" w14:textId="77777777" w:rsidR="00305EF5" w:rsidRPr="005958A2" w:rsidRDefault="00305EF5" w:rsidP="00305EF5">
            <w:pPr>
              <w:jc w:val="both"/>
              <w:rPr>
                <w:rFonts w:eastAsia="Calibri"/>
                <w:color w:val="000000"/>
                <w:szCs w:val="28"/>
                <w:shd w:val="clear" w:color="auto" w:fill="FFFFFF"/>
                <w:lang w:eastAsia="en-US"/>
              </w:rPr>
            </w:pPr>
            <w:r w:rsidRPr="005958A2">
              <w:rPr>
                <w:rFonts w:eastAsia="Calibri"/>
                <w:b/>
                <w:i/>
                <w:color w:val="000000"/>
                <w:szCs w:val="28"/>
                <w:shd w:val="clear" w:color="auto" w:fill="FFFFFF"/>
                <w:lang w:eastAsia="en-US"/>
              </w:rPr>
              <w:t>Розрахунок:</w:t>
            </w:r>
            <w:r>
              <w:rPr>
                <w:rFonts w:eastAsia="Calibri"/>
                <w:color w:val="000000"/>
                <w:szCs w:val="28"/>
                <w:shd w:val="clear" w:color="auto" w:fill="FFFFFF"/>
                <w:lang w:eastAsia="en-US"/>
              </w:rPr>
              <w:t xml:space="preserve"> </w:t>
            </w:r>
            <w:r w:rsidRPr="005958A2">
              <w:rPr>
                <w:rFonts w:eastAsia="Calibri"/>
                <w:color w:val="000000"/>
                <w:szCs w:val="28"/>
                <w:shd w:val="clear" w:color="auto" w:fill="FFFFFF"/>
                <w:lang w:eastAsia="en-US"/>
              </w:rPr>
              <w:t>3 год. (час, який витрачається с/г на пошук нормативно-правового акту в мережі  Інтернет та ознайомлення з ним;</w:t>
            </w:r>
            <w:r w:rsidRPr="005958A2">
              <w:rPr>
                <w:rFonts w:eastAsia="Calibri"/>
                <w:color w:val="000000"/>
                <w:szCs w:val="28"/>
                <w:shd w:val="clear" w:color="auto" w:fill="FFFFFF"/>
                <w:lang w:val="ru-RU" w:eastAsia="en-US"/>
              </w:rPr>
              <w:t xml:space="preserve"> </w:t>
            </w:r>
            <w:r w:rsidRPr="005958A2">
              <w:rPr>
                <w:rFonts w:eastAsia="Calibri"/>
                <w:color w:val="000000"/>
                <w:szCs w:val="28"/>
                <w:shd w:val="clear" w:color="auto" w:fill="FFFFFF"/>
                <w:lang w:eastAsia="en-US"/>
              </w:rPr>
              <w:t xml:space="preserve">Х </w:t>
            </w:r>
            <w:r w:rsidR="00FD608C">
              <w:rPr>
                <w:rFonts w:eastAsia="Calibri"/>
                <w:color w:val="000000"/>
                <w:szCs w:val="28"/>
                <w:shd w:val="clear" w:color="auto" w:fill="FFFFFF"/>
                <w:lang w:val="ru-RU" w:eastAsia="en-US"/>
              </w:rPr>
              <w:t>22,41</w:t>
            </w:r>
            <w:r w:rsidRPr="005958A2">
              <w:rPr>
                <w:rFonts w:eastAsia="Calibri"/>
                <w:color w:val="000000"/>
                <w:szCs w:val="28"/>
                <w:shd w:val="clear" w:color="auto" w:fill="FFFFFF"/>
                <w:lang w:eastAsia="en-US"/>
              </w:rPr>
              <w:t xml:space="preserve"> грн. = </w:t>
            </w:r>
          </w:p>
          <w:p w14:paraId="353C89BD" w14:textId="77777777" w:rsidR="00305EF5" w:rsidRDefault="00FD608C" w:rsidP="00305EF5">
            <w:pPr>
              <w:jc w:val="both"/>
              <w:rPr>
                <w:rFonts w:eastAsia="Calibri"/>
                <w:b/>
                <w:color w:val="000000"/>
                <w:szCs w:val="28"/>
                <w:shd w:val="clear" w:color="auto" w:fill="FFFFFF"/>
                <w:lang w:eastAsia="en-US"/>
              </w:rPr>
            </w:pPr>
            <w:r>
              <w:rPr>
                <w:rFonts w:eastAsia="Calibri"/>
                <w:b/>
                <w:color w:val="000000"/>
                <w:szCs w:val="28"/>
                <w:shd w:val="clear" w:color="auto" w:fill="FFFFFF"/>
                <w:lang w:val="ru-RU" w:eastAsia="en-US"/>
              </w:rPr>
              <w:t>66,23</w:t>
            </w:r>
            <w:r w:rsidR="00305EF5" w:rsidRPr="005958A2">
              <w:rPr>
                <w:rFonts w:eastAsia="Calibri"/>
                <w:b/>
                <w:color w:val="000000"/>
                <w:szCs w:val="28"/>
                <w:shd w:val="clear" w:color="auto" w:fill="FFFFFF"/>
                <w:lang w:eastAsia="en-US"/>
              </w:rPr>
              <w:t xml:space="preserve"> грн.</w:t>
            </w:r>
          </w:p>
          <w:p w14:paraId="6E7CD8C5" w14:textId="723DF742" w:rsidR="00746C6C" w:rsidRPr="005958A2" w:rsidRDefault="00746C6C" w:rsidP="00305EF5">
            <w:pPr>
              <w:jc w:val="both"/>
              <w:rPr>
                <w:rFonts w:eastAsia="Calibri"/>
                <w:color w:val="000000"/>
                <w:szCs w:val="28"/>
                <w:shd w:val="clear" w:color="auto" w:fill="FFFFFF"/>
                <w:lang w:eastAsia="en-US"/>
              </w:rPr>
            </w:pPr>
            <w:r w:rsidRPr="00746C6C">
              <w:rPr>
                <w:rFonts w:eastAsia="Calibri"/>
                <w:color w:val="000000"/>
                <w:szCs w:val="28"/>
                <w:shd w:val="clear" w:color="auto" w:fill="FFFFFF"/>
                <w:lang w:eastAsia="en-US"/>
              </w:rPr>
              <w:t xml:space="preserve">8 год. (час, необхідний </w:t>
            </w:r>
            <w:r w:rsidR="00A62A05">
              <w:rPr>
                <w:rFonts w:eastAsia="Calibri"/>
                <w:color w:val="000000"/>
                <w:szCs w:val="28"/>
                <w:shd w:val="clear" w:color="auto" w:fill="FFFFFF"/>
                <w:lang w:eastAsia="en-US"/>
              </w:rPr>
              <w:t>для організації виконання вимог регулювання</w:t>
            </w:r>
            <w:r w:rsidRPr="00746C6C">
              <w:rPr>
                <w:rFonts w:eastAsia="Calibri"/>
                <w:color w:val="000000"/>
                <w:szCs w:val="28"/>
                <w:shd w:val="clear" w:color="auto" w:fill="FFFFFF"/>
                <w:lang w:eastAsia="en-US"/>
              </w:rPr>
              <w:t xml:space="preserve"> (за результатами консультацій)) Х </w:t>
            </w:r>
            <w:r w:rsidR="00FD608C">
              <w:rPr>
                <w:rFonts w:eastAsia="Calibri"/>
                <w:color w:val="000000"/>
                <w:szCs w:val="28"/>
                <w:shd w:val="clear" w:color="auto" w:fill="FFFFFF"/>
                <w:lang w:val="ru-RU" w:eastAsia="en-US"/>
              </w:rPr>
              <w:t>22,41</w:t>
            </w:r>
            <w:r w:rsidRPr="00746C6C">
              <w:rPr>
                <w:rFonts w:eastAsia="Calibri"/>
                <w:color w:val="000000"/>
                <w:szCs w:val="28"/>
                <w:shd w:val="clear" w:color="auto" w:fill="FFFFFF"/>
                <w:lang w:eastAsia="en-US"/>
              </w:rPr>
              <w:t xml:space="preserve"> грн. Х 1 процедура(прийняття наказу по підприємству)=         </w:t>
            </w:r>
            <w:r w:rsidRPr="00746C6C">
              <w:rPr>
                <w:rFonts w:eastAsia="Calibri"/>
                <w:b/>
                <w:color w:val="000000"/>
                <w:szCs w:val="28"/>
                <w:shd w:val="clear" w:color="auto" w:fill="FFFFFF"/>
                <w:lang w:eastAsia="en-US"/>
              </w:rPr>
              <w:t xml:space="preserve"> </w:t>
            </w:r>
            <w:r w:rsidR="00FD608C">
              <w:rPr>
                <w:rFonts w:eastAsia="Calibri"/>
                <w:b/>
                <w:color w:val="000000"/>
                <w:szCs w:val="28"/>
                <w:shd w:val="clear" w:color="auto" w:fill="FFFFFF"/>
                <w:lang w:val="ru-RU" w:eastAsia="en-US"/>
              </w:rPr>
              <w:t>179,28</w:t>
            </w:r>
            <w:r>
              <w:rPr>
                <w:rFonts w:eastAsia="Calibri"/>
                <w:b/>
                <w:color w:val="000000"/>
                <w:szCs w:val="28"/>
                <w:shd w:val="clear" w:color="auto" w:fill="FFFFFF"/>
                <w:lang w:eastAsia="en-US"/>
              </w:rPr>
              <w:t xml:space="preserve"> грн.</w:t>
            </w:r>
          </w:p>
          <w:p w14:paraId="4694F7D9" w14:textId="77777777" w:rsidR="002013BE" w:rsidRPr="002013BE" w:rsidRDefault="00305EF5" w:rsidP="00463325">
            <w:pPr>
              <w:keepNext/>
              <w:widowControl w:val="0"/>
              <w:tabs>
                <w:tab w:val="left" w:pos="142"/>
              </w:tabs>
              <w:jc w:val="both"/>
              <w:textAlignment w:val="baseline"/>
              <w:rPr>
                <w:b/>
                <w:shd w:val="clear" w:color="auto" w:fill="FFFFFF"/>
              </w:rPr>
            </w:pPr>
            <w:r>
              <w:rPr>
                <w:b/>
                <w:shd w:val="clear" w:color="auto" w:fill="FFFFFF"/>
              </w:rPr>
              <w:t xml:space="preserve">Витрати для всіх складатимуть близько </w:t>
            </w:r>
            <w:r w:rsidR="00746C6C">
              <w:rPr>
                <w:b/>
                <w:shd w:val="clear" w:color="auto" w:fill="FFFFFF"/>
              </w:rPr>
              <w:t>3</w:t>
            </w:r>
            <w:r w:rsidR="00FD608C">
              <w:rPr>
                <w:b/>
                <w:shd w:val="clear" w:color="auto" w:fill="FFFFFF"/>
                <w:lang w:val="ru-RU"/>
              </w:rPr>
              <w:t xml:space="preserve">9 </w:t>
            </w:r>
            <w:r>
              <w:rPr>
                <w:b/>
                <w:shd w:val="clear" w:color="auto" w:fill="FFFFFF"/>
              </w:rPr>
              <w:t>млн.грн.</w:t>
            </w:r>
          </w:p>
          <w:p w14:paraId="5BF52A74" w14:textId="77777777" w:rsidR="003A7EA0" w:rsidRPr="00F33370" w:rsidRDefault="003A7EA0" w:rsidP="001664FA">
            <w:pPr>
              <w:keepNext/>
              <w:widowControl w:val="0"/>
              <w:tabs>
                <w:tab w:val="left" w:pos="142"/>
              </w:tabs>
              <w:jc w:val="both"/>
              <w:textAlignment w:val="baseline"/>
              <w:rPr>
                <w:b/>
                <w:shd w:val="clear" w:color="auto" w:fill="FFFFFF"/>
              </w:rPr>
            </w:pPr>
          </w:p>
        </w:tc>
      </w:tr>
    </w:tbl>
    <w:p w14:paraId="7E2A586D" w14:textId="77777777" w:rsidR="00AB35DE" w:rsidRPr="00CB4504" w:rsidRDefault="00AB35DE" w:rsidP="00527B9B">
      <w:pPr>
        <w:ind w:firstLine="709"/>
        <w:jc w:val="both"/>
        <w:rPr>
          <w:bCs/>
          <w:sz w:val="28"/>
          <w:szCs w:val="28"/>
        </w:rPr>
      </w:pPr>
    </w:p>
    <w:p w14:paraId="398F4961" w14:textId="77777777" w:rsidR="002013BE" w:rsidRPr="00C7561B" w:rsidRDefault="002013BE" w:rsidP="004148D1">
      <w:pPr>
        <w:ind w:firstLine="709"/>
        <w:jc w:val="both"/>
        <w:rPr>
          <w:b/>
          <w:sz w:val="28"/>
          <w:szCs w:val="28"/>
          <w:lang w:val="ru-RU"/>
        </w:rPr>
      </w:pPr>
    </w:p>
    <w:p w14:paraId="48FEEAC6" w14:textId="77777777" w:rsidR="006A2AFA" w:rsidRPr="00D802FD" w:rsidRDefault="006A2AFA" w:rsidP="004148D1">
      <w:pPr>
        <w:ind w:firstLine="709"/>
        <w:jc w:val="both"/>
        <w:rPr>
          <w:b/>
          <w:sz w:val="28"/>
          <w:szCs w:val="28"/>
        </w:rPr>
      </w:pPr>
      <w:r w:rsidRPr="00D802FD">
        <w:rPr>
          <w:b/>
          <w:sz w:val="28"/>
          <w:szCs w:val="28"/>
          <w:lang w:val="en-US"/>
        </w:rPr>
        <w:t>IV</w:t>
      </w:r>
      <w:r w:rsidRPr="00D802FD">
        <w:rPr>
          <w:b/>
          <w:sz w:val="28"/>
          <w:szCs w:val="28"/>
        </w:rPr>
        <w:t>. Вибір найбільш оптимального альтернативного способу досягнення цілей</w:t>
      </w:r>
    </w:p>
    <w:p w14:paraId="76819447" w14:textId="77777777" w:rsidR="00F54156" w:rsidRPr="00CB4504" w:rsidRDefault="00F54156" w:rsidP="00386D9D">
      <w:pPr>
        <w:ind w:firstLine="709"/>
        <w:jc w:val="center"/>
        <w:rPr>
          <w:sz w:val="28"/>
          <w:szCs w:val="28"/>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984"/>
        <w:gridCol w:w="4862"/>
      </w:tblGrid>
      <w:tr w:rsidR="00CB4504" w:rsidRPr="00CB4504" w14:paraId="3DE347F6" w14:textId="77777777" w:rsidTr="00CA761C">
        <w:tc>
          <w:tcPr>
            <w:tcW w:w="3684" w:type="dxa"/>
            <w:shd w:val="clear" w:color="auto" w:fill="auto"/>
          </w:tcPr>
          <w:p w14:paraId="64226CA4" w14:textId="77777777" w:rsidR="006A2AFA" w:rsidRPr="00CB4504" w:rsidRDefault="006A2AFA" w:rsidP="007B60CB">
            <w:pPr>
              <w:spacing w:after="160"/>
              <w:contextualSpacing/>
              <w:jc w:val="center"/>
            </w:pPr>
            <w:r w:rsidRPr="00CB4504">
              <w:t>Рейтинг результативності (досягнення цілей під час вирішення проблеми)</w:t>
            </w:r>
          </w:p>
        </w:tc>
        <w:tc>
          <w:tcPr>
            <w:tcW w:w="1984" w:type="dxa"/>
            <w:shd w:val="clear" w:color="auto" w:fill="auto"/>
          </w:tcPr>
          <w:p w14:paraId="17AEAB5E" w14:textId="77777777" w:rsidR="006A2AFA" w:rsidRPr="00CB4504" w:rsidRDefault="006A2AFA" w:rsidP="007B60CB">
            <w:pPr>
              <w:contextualSpacing/>
              <w:jc w:val="center"/>
            </w:pPr>
            <w:r w:rsidRPr="00CB4504">
              <w:t xml:space="preserve">Бал результативності </w:t>
            </w:r>
          </w:p>
          <w:p w14:paraId="22F0FC2F" w14:textId="77777777" w:rsidR="006A2AFA" w:rsidRPr="00CB4504" w:rsidRDefault="006A2AFA" w:rsidP="007B60CB">
            <w:pPr>
              <w:contextualSpacing/>
              <w:jc w:val="center"/>
            </w:pPr>
            <w:r w:rsidRPr="00CB4504">
              <w:t>(за чотирибальною системою оцінки)</w:t>
            </w:r>
          </w:p>
        </w:tc>
        <w:tc>
          <w:tcPr>
            <w:tcW w:w="4862" w:type="dxa"/>
            <w:shd w:val="clear" w:color="auto" w:fill="auto"/>
          </w:tcPr>
          <w:p w14:paraId="1207520C" w14:textId="77777777" w:rsidR="006A2AFA" w:rsidRPr="00CB4504" w:rsidRDefault="006A2AFA" w:rsidP="007B60CB">
            <w:pPr>
              <w:spacing w:after="160"/>
              <w:contextualSpacing/>
              <w:jc w:val="center"/>
            </w:pPr>
            <w:r w:rsidRPr="00CB4504">
              <w:t>Коментарі щодо присвоєння відповідного бала</w:t>
            </w:r>
          </w:p>
        </w:tc>
      </w:tr>
      <w:tr w:rsidR="00CB4504" w:rsidRPr="00CB4504" w14:paraId="29A3A830" w14:textId="77777777" w:rsidTr="00CA761C">
        <w:tc>
          <w:tcPr>
            <w:tcW w:w="3684" w:type="dxa"/>
            <w:shd w:val="clear" w:color="auto" w:fill="auto"/>
          </w:tcPr>
          <w:p w14:paraId="534C8BA5" w14:textId="77777777" w:rsidR="006A2AFA" w:rsidRPr="00CB4504" w:rsidRDefault="00F54156" w:rsidP="007B60CB">
            <w:pPr>
              <w:jc w:val="both"/>
            </w:pPr>
            <w:r w:rsidRPr="00CB4504">
              <w:rPr>
                <w:iCs/>
              </w:rPr>
              <w:t>Залишення існуючої на даний момент ситуації без змін</w:t>
            </w:r>
          </w:p>
        </w:tc>
        <w:tc>
          <w:tcPr>
            <w:tcW w:w="1984" w:type="dxa"/>
            <w:shd w:val="clear" w:color="auto" w:fill="auto"/>
          </w:tcPr>
          <w:p w14:paraId="3A962CA2" w14:textId="77777777" w:rsidR="006A2AFA" w:rsidRPr="00CB4504" w:rsidRDefault="006A2AFA" w:rsidP="007B60CB">
            <w:pPr>
              <w:spacing w:after="160"/>
              <w:contextualSpacing/>
              <w:jc w:val="center"/>
            </w:pPr>
            <w:r w:rsidRPr="00CB4504">
              <w:t>1</w:t>
            </w:r>
          </w:p>
        </w:tc>
        <w:tc>
          <w:tcPr>
            <w:tcW w:w="4862" w:type="dxa"/>
            <w:shd w:val="clear" w:color="auto" w:fill="auto"/>
          </w:tcPr>
          <w:p w14:paraId="2E3B07B6" w14:textId="77777777" w:rsidR="00F54156" w:rsidRPr="00CB4504" w:rsidRDefault="00F54156" w:rsidP="00F54156">
            <w:pPr>
              <w:jc w:val="both"/>
            </w:pPr>
            <w:r w:rsidRPr="00CB4504">
              <w:rPr>
                <w:shd w:val="clear" w:color="auto" w:fill="FFFFFF"/>
              </w:rPr>
              <w:t>У разі залишення існуючої на даний момент ситуації без змін проблема продовжуватиме існувати, що не забезпечить досягнення поставленої мети.</w:t>
            </w:r>
          </w:p>
        </w:tc>
      </w:tr>
      <w:tr w:rsidR="00CB4504" w:rsidRPr="00CB4504" w14:paraId="7B04C432" w14:textId="77777777" w:rsidTr="00CA761C">
        <w:trPr>
          <w:trHeight w:val="557"/>
        </w:trPr>
        <w:tc>
          <w:tcPr>
            <w:tcW w:w="3684" w:type="dxa"/>
            <w:shd w:val="clear" w:color="auto" w:fill="auto"/>
          </w:tcPr>
          <w:p w14:paraId="0677EF77" w14:textId="77777777" w:rsidR="006A2AFA" w:rsidRPr="00CB4504" w:rsidRDefault="001C319E" w:rsidP="007B60CB">
            <w:r>
              <w:t>Внесення змін до існуючого регулювання</w:t>
            </w:r>
          </w:p>
        </w:tc>
        <w:tc>
          <w:tcPr>
            <w:tcW w:w="1984" w:type="dxa"/>
            <w:shd w:val="clear" w:color="auto" w:fill="auto"/>
          </w:tcPr>
          <w:p w14:paraId="422A5A48" w14:textId="77777777" w:rsidR="006A2AFA" w:rsidRPr="00CB4504" w:rsidRDefault="00AA57A7" w:rsidP="007B60CB">
            <w:pPr>
              <w:spacing w:after="160"/>
              <w:contextualSpacing/>
              <w:jc w:val="center"/>
            </w:pPr>
            <w:r w:rsidRPr="00CB4504">
              <w:t>4</w:t>
            </w:r>
          </w:p>
        </w:tc>
        <w:tc>
          <w:tcPr>
            <w:tcW w:w="4862" w:type="dxa"/>
            <w:shd w:val="clear" w:color="auto" w:fill="auto"/>
          </w:tcPr>
          <w:p w14:paraId="09DC7DCE" w14:textId="77777777" w:rsidR="00A62A05" w:rsidRPr="00A62A05" w:rsidRDefault="00A62A05" w:rsidP="00A62A05">
            <w:pPr>
              <w:jc w:val="both"/>
            </w:pPr>
            <w:r w:rsidRPr="00A62A05">
              <w:t xml:space="preserve">Повністю відповідає потребам у вирішенні проблеми, оскільки запроваджуватимуться механізми, зокрема щодо: </w:t>
            </w:r>
          </w:p>
          <w:p w14:paraId="6AD2F970" w14:textId="77777777" w:rsidR="00A62A05" w:rsidRPr="00A62A05" w:rsidRDefault="00A62A05" w:rsidP="00A62A05">
            <w:pPr>
              <w:jc w:val="both"/>
            </w:pPr>
            <w:r w:rsidRPr="00A62A05">
              <w:t>- заборони вимагання органами ліцензування надання документів в паперовому чи електронному вигляді, які підтверджують внесення ліцензіатами плати за видачу ліцензій;</w:t>
            </w:r>
          </w:p>
          <w:p w14:paraId="203BBD8A" w14:textId="0CE585E7" w:rsidR="0003369B" w:rsidRDefault="00A62A05" w:rsidP="00A62A05">
            <w:pPr>
              <w:jc w:val="both"/>
            </w:pPr>
            <w:r w:rsidRPr="00A62A05">
              <w:t xml:space="preserve">- нової адміністративно-господарської санкції у сфері ліцензування - зупинення дії ліцензії в повному обсязі або частково; </w:t>
            </w:r>
          </w:p>
          <w:p w14:paraId="3AB820F8" w14:textId="7F24D8AF" w:rsidR="00A62A05" w:rsidRPr="00A62A05" w:rsidRDefault="00A62A05" w:rsidP="00A62A05">
            <w:pPr>
              <w:jc w:val="both"/>
            </w:pPr>
            <w:r w:rsidRPr="00A62A05">
              <w:t xml:space="preserve">- порядку відновлення дії ліцензії, що була зупинена органом ліцензування; </w:t>
            </w:r>
          </w:p>
          <w:p w14:paraId="44D5977F" w14:textId="42282341" w:rsidR="00A62A05" w:rsidRPr="00A62A05" w:rsidRDefault="00A62A05" w:rsidP="00A62A05">
            <w:pPr>
              <w:jc w:val="both"/>
            </w:pPr>
            <w:r w:rsidRPr="00A62A05">
              <w:t>- порядку відновлення дії ліцензії, що була зупинена органом ліцензування;</w:t>
            </w:r>
          </w:p>
          <w:p w14:paraId="5121AEF7" w14:textId="73443C42" w:rsidR="00A62A05" w:rsidRPr="00A62A05" w:rsidRDefault="00A62A05" w:rsidP="00A62A05">
            <w:pPr>
              <w:jc w:val="both"/>
            </w:pPr>
            <w:r w:rsidRPr="00A62A05">
              <w:t>- порядку оскарження ліцензіатом рішення органу ліцензування щодо зупинення дії ліцензії;</w:t>
            </w:r>
          </w:p>
          <w:p w14:paraId="14420CAE" w14:textId="77777777" w:rsidR="00A62A05" w:rsidRPr="00A62A05" w:rsidRDefault="00A62A05" w:rsidP="00A62A05">
            <w:pPr>
              <w:jc w:val="both"/>
            </w:pPr>
            <w:r w:rsidRPr="00A62A05">
              <w:t xml:space="preserve">-врегулювання питань щодо повторного подання заяви про отримання ліцензії </w:t>
            </w:r>
            <w:r w:rsidRPr="00A62A05">
              <w:lastRenderedPageBreak/>
              <w:t>передбачивши, що до заяви про отримання ліцензії додаються лише ті підтвердні документи, які стали підставою для прийняття рішення про залишення заяви без розгляду, за умови, що попередньо подані документи, що знаходяться у ліцензійній справі, на момент подачі повторної заяви зберегли свою актуальність;</w:t>
            </w:r>
          </w:p>
          <w:p w14:paraId="44ED259C" w14:textId="77777777" w:rsidR="00A62A05" w:rsidRPr="00A62A05" w:rsidRDefault="00A62A05" w:rsidP="00A62A05">
            <w:pPr>
              <w:jc w:val="both"/>
            </w:pPr>
            <w:r w:rsidRPr="00A62A05">
              <w:t>-виключення підстави для анулювання ліцензії у випадку несплати ліцензіатом за видачу ліцензії.</w:t>
            </w:r>
          </w:p>
          <w:p w14:paraId="58C8A690" w14:textId="77777777" w:rsidR="00A62A05" w:rsidRPr="00A62A05" w:rsidRDefault="00A62A05" w:rsidP="00A62A05">
            <w:pPr>
              <w:jc w:val="both"/>
              <w:rPr>
                <w:b/>
              </w:rPr>
            </w:pPr>
            <w:r w:rsidRPr="00A62A05">
              <w:rPr>
                <w:b/>
              </w:rPr>
              <w:t>Сприятиме зменшенню фінансових витрат бізнесу близько 960 млн.грн в рік.</w:t>
            </w:r>
          </w:p>
          <w:p w14:paraId="0C2B7A70" w14:textId="77777777" w:rsidR="006A2AFA" w:rsidRPr="00CB4504" w:rsidRDefault="006A2AFA" w:rsidP="00A62A05">
            <w:pPr>
              <w:jc w:val="both"/>
            </w:pPr>
          </w:p>
        </w:tc>
      </w:tr>
    </w:tbl>
    <w:p w14:paraId="00E7A422" w14:textId="77777777" w:rsidR="006A2AFA" w:rsidRPr="00CB4504" w:rsidRDefault="006A2AFA" w:rsidP="006A2AFA">
      <w:pPr>
        <w:spacing w:after="160"/>
        <w:ind w:firstLine="709"/>
        <w:contextualSpacing/>
        <w:jc w:val="both"/>
        <w:rPr>
          <w:sz w:val="28"/>
          <w:szCs w:val="28"/>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
        <w:gridCol w:w="2989"/>
        <w:gridCol w:w="48"/>
        <w:gridCol w:w="2340"/>
        <w:gridCol w:w="2970"/>
      </w:tblGrid>
      <w:tr w:rsidR="006A2AFA" w:rsidRPr="00CB4504" w14:paraId="278D9672" w14:textId="77777777" w:rsidTr="00036BA5">
        <w:tc>
          <w:tcPr>
            <w:tcW w:w="2160" w:type="dxa"/>
            <w:shd w:val="clear" w:color="auto" w:fill="auto"/>
          </w:tcPr>
          <w:p w14:paraId="51906A77" w14:textId="77777777" w:rsidR="006A2AFA" w:rsidRPr="00CB4504" w:rsidRDefault="006A2AFA" w:rsidP="007B60CB">
            <w:pPr>
              <w:spacing w:after="160"/>
              <w:contextualSpacing/>
              <w:jc w:val="center"/>
            </w:pPr>
            <w:r w:rsidRPr="00CB4504">
              <w:t>Рейтинг результативності</w:t>
            </w:r>
          </w:p>
        </w:tc>
        <w:tc>
          <w:tcPr>
            <w:tcW w:w="3060" w:type="dxa"/>
            <w:gridSpan w:val="3"/>
            <w:shd w:val="clear" w:color="auto" w:fill="auto"/>
          </w:tcPr>
          <w:p w14:paraId="2C514753" w14:textId="77777777" w:rsidR="006A2AFA" w:rsidRPr="00CB4504" w:rsidRDefault="006A2AFA" w:rsidP="007B60CB">
            <w:pPr>
              <w:spacing w:after="160"/>
              <w:contextualSpacing/>
              <w:jc w:val="center"/>
            </w:pPr>
            <w:r w:rsidRPr="00CB4504">
              <w:t>Вигоди (підсумок)</w:t>
            </w:r>
          </w:p>
        </w:tc>
        <w:tc>
          <w:tcPr>
            <w:tcW w:w="2340" w:type="dxa"/>
            <w:shd w:val="clear" w:color="auto" w:fill="auto"/>
          </w:tcPr>
          <w:p w14:paraId="452A1644" w14:textId="77777777" w:rsidR="006A2AFA" w:rsidRPr="00CB4504" w:rsidRDefault="006A2AFA" w:rsidP="007B60CB">
            <w:pPr>
              <w:spacing w:after="160"/>
              <w:contextualSpacing/>
              <w:jc w:val="center"/>
            </w:pPr>
            <w:r w:rsidRPr="00CB4504">
              <w:t>Витрати (підсумок)</w:t>
            </w:r>
          </w:p>
        </w:tc>
        <w:tc>
          <w:tcPr>
            <w:tcW w:w="2970" w:type="dxa"/>
            <w:shd w:val="clear" w:color="auto" w:fill="auto"/>
          </w:tcPr>
          <w:p w14:paraId="7AA503BE" w14:textId="77777777" w:rsidR="006A2AFA" w:rsidRPr="00CB4504" w:rsidRDefault="006A2AFA" w:rsidP="007B60CB">
            <w:pPr>
              <w:spacing w:after="160"/>
              <w:contextualSpacing/>
              <w:jc w:val="center"/>
            </w:pPr>
            <w:r w:rsidRPr="00CB4504">
              <w:t>Обґрунтування відповідного місця альтернативи у рейтингу</w:t>
            </w:r>
          </w:p>
        </w:tc>
      </w:tr>
      <w:tr w:rsidR="006A2AFA" w:rsidRPr="00CB4504" w14:paraId="54DFBC40" w14:textId="77777777" w:rsidTr="00036BA5">
        <w:tc>
          <w:tcPr>
            <w:tcW w:w="2183" w:type="dxa"/>
            <w:gridSpan w:val="2"/>
            <w:shd w:val="clear" w:color="auto" w:fill="auto"/>
          </w:tcPr>
          <w:p w14:paraId="7DD16828" w14:textId="77777777" w:rsidR="006A2AFA" w:rsidRPr="00CB4504" w:rsidRDefault="001C319E" w:rsidP="007B60CB">
            <w:pPr>
              <w:jc w:val="both"/>
            </w:pPr>
            <w:r>
              <w:t>Внесення змін до існуючого регулювання</w:t>
            </w:r>
          </w:p>
        </w:tc>
        <w:tc>
          <w:tcPr>
            <w:tcW w:w="2989" w:type="dxa"/>
            <w:shd w:val="clear" w:color="auto" w:fill="auto"/>
          </w:tcPr>
          <w:p w14:paraId="6595B114" w14:textId="77777777" w:rsidR="001D4685" w:rsidRPr="00CB4504" w:rsidRDefault="002D3DC2" w:rsidP="002D3DC2">
            <w:pPr>
              <w:autoSpaceDE w:val="0"/>
              <w:autoSpaceDN w:val="0"/>
              <w:adjustRightInd w:val="0"/>
              <w:jc w:val="both"/>
              <w:rPr>
                <w:spacing w:val="-4"/>
              </w:rPr>
            </w:pPr>
            <w:r w:rsidRPr="00CB4504">
              <w:rPr>
                <w:spacing w:val="-4"/>
              </w:rPr>
              <w:t>У разі прийняття проекту акта</w:t>
            </w:r>
            <w:r w:rsidR="00D90961" w:rsidRPr="00CB4504">
              <w:rPr>
                <w:spacing w:val="-4"/>
              </w:rPr>
              <w:t xml:space="preserve"> вигода</w:t>
            </w:r>
            <w:r w:rsidRPr="00CB4504">
              <w:rPr>
                <w:spacing w:val="-4"/>
              </w:rPr>
              <w:t xml:space="preserve"> </w:t>
            </w:r>
            <w:r w:rsidR="00D90961" w:rsidRPr="00CB4504">
              <w:rPr>
                <w:spacing w:val="-4"/>
              </w:rPr>
              <w:t xml:space="preserve">заключатиметься: </w:t>
            </w:r>
          </w:p>
          <w:p w14:paraId="3AB7317F" w14:textId="77777777" w:rsidR="00CD0DB5" w:rsidRPr="00CD0DB5" w:rsidRDefault="002D3DC2" w:rsidP="00CD0DB5">
            <w:pPr>
              <w:autoSpaceDE w:val="0"/>
              <w:autoSpaceDN w:val="0"/>
              <w:adjustRightInd w:val="0"/>
              <w:jc w:val="both"/>
              <w:rPr>
                <w:spacing w:val="-4"/>
              </w:rPr>
            </w:pPr>
            <w:r w:rsidRPr="001C319E">
              <w:rPr>
                <w:b/>
                <w:spacing w:val="-4"/>
              </w:rPr>
              <w:t>для держави</w:t>
            </w:r>
            <w:r w:rsidR="00685FDA" w:rsidRPr="00CB4504">
              <w:rPr>
                <w:spacing w:val="-4"/>
              </w:rPr>
              <w:t xml:space="preserve"> </w:t>
            </w:r>
            <w:r w:rsidR="001C319E">
              <w:rPr>
                <w:spacing w:val="-4"/>
              </w:rPr>
              <w:t>–</w:t>
            </w:r>
            <w:r w:rsidR="00685FDA" w:rsidRPr="00CB4504">
              <w:rPr>
                <w:spacing w:val="-4"/>
              </w:rPr>
              <w:t xml:space="preserve"> </w:t>
            </w:r>
            <w:r w:rsidR="00CD0DB5" w:rsidRPr="00CD0DB5">
              <w:rPr>
                <w:spacing w:val="-4"/>
              </w:rPr>
              <w:t>Удосконалення вже запроваджених державою принципів та процедур ліцензування, з метою чіткого їх окреслення, усунення правових колізій та  унеможливлення порушення прав суб’єктів господарювання.</w:t>
            </w:r>
          </w:p>
          <w:p w14:paraId="20F297D3" w14:textId="77777777" w:rsidR="00CD0DB5" w:rsidRPr="00CD0DB5" w:rsidRDefault="00CD0DB5" w:rsidP="00CD0DB5">
            <w:pPr>
              <w:autoSpaceDE w:val="0"/>
              <w:autoSpaceDN w:val="0"/>
              <w:adjustRightInd w:val="0"/>
              <w:jc w:val="both"/>
              <w:rPr>
                <w:spacing w:val="-4"/>
              </w:rPr>
            </w:pPr>
            <w:r w:rsidRPr="00CD0DB5">
              <w:rPr>
                <w:spacing w:val="-4"/>
              </w:rPr>
              <w:t>Покращення інвестиційного клімату.</w:t>
            </w:r>
          </w:p>
          <w:p w14:paraId="15B74675" w14:textId="77777777" w:rsidR="001C319E" w:rsidRDefault="001C319E" w:rsidP="00685FDA">
            <w:pPr>
              <w:autoSpaceDE w:val="0"/>
              <w:autoSpaceDN w:val="0"/>
              <w:adjustRightInd w:val="0"/>
              <w:jc w:val="both"/>
              <w:rPr>
                <w:spacing w:val="-4"/>
              </w:rPr>
            </w:pPr>
          </w:p>
          <w:p w14:paraId="3316B0F3" w14:textId="77777777" w:rsidR="00CD0DB5" w:rsidRPr="00CD0DB5" w:rsidRDefault="001C319E" w:rsidP="00CD0DB5">
            <w:pPr>
              <w:autoSpaceDE w:val="0"/>
              <w:autoSpaceDN w:val="0"/>
              <w:adjustRightInd w:val="0"/>
              <w:jc w:val="both"/>
              <w:rPr>
                <w:b/>
              </w:rPr>
            </w:pPr>
            <w:r>
              <w:rPr>
                <w:b/>
                <w:spacing w:val="-4"/>
              </w:rPr>
              <w:t>д</w:t>
            </w:r>
            <w:r w:rsidR="00D90961" w:rsidRPr="001C319E">
              <w:rPr>
                <w:b/>
                <w:spacing w:val="-4"/>
              </w:rPr>
              <w:t xml:space="preserve">ля </w:t>
            </w:r>
            <w:r w:rsidR="00F648A8" w:rsidRPr="001C319E">
              <w:rPr>
                <w:b/>
              </w:rPr>
              <w:t>суб’єкт</w:t>
            </w:r>
            <w:r w:rsidR="00D90961" w:rsidRPr="001C319E">
              <w:rPr>
                <w:b/>
              </w:rPr>
              <w:t>ів господарювання</w:t>
            </w:r>
            <w:r w:rsidR="00D90961" w:rsidRPr="00CB4504">
              <w:t xml:space="preserve"> </w:t>
            </w:r>
            <w:r w:rsidR="00685FDA" w:rsidRPr="00CB4504">
              <w:t>-</w:t>
            </w:r>
            <w:r w:rsidR="00CD0DB5" w:rsidRPr="00CD0DB5">
              <w:rPr>
                <w:shd w:val="clear" w:color="auto" w:fill="FFFFFF"/>
              </w:rPr>
              <w:t xml:space="preserve"> </w:t>
            </w:r>
            <w:r w:rsidR="00CD0DB5" w:rsidRPr="00CD0DB5">
              <w:t xml:space="preserve">Сприятиме зменшенню </w:t>
            </w:r>
            <w:r w:rsidR="00CD0DB5" w:rsidRPr="00CD0DB5">
              <w:rPr>
                <w:b/>
              </w:rPr>
              <w:t>фінансових витрат бізнесу близько 960 млн.грн в рік. За п’ять років економія для бізнесу буде близько 4,8 млрд. грн.</w:t>
            </w:r>
          </w:p>
          <w:p w14:paraId="088F27D5" w14:textId="77777777" w:rsidR="00CD0DB5" w:rsidRPr="00CD0DB5" w:rsidRDefault="00CD0DB5" w:rsidP="00CD0DB5">
            <w:pPr>
              <w:autoSpaceDE w:val="0"/>
              <w:autoSpaceDN w:val="0"/>
              <w:adjustRightInd w:val="0"/>
              <w:jc w:val="both"/>
            </w:pPr>
            <w:r w:rsidRPr="00CD0DB5">
              <w:t>Можливість направити вивільнені кошти на розвиток бізнесу.</w:t>
            </w:r>
          </w:p>
          <w:p w14:paraId="76F7C9C7" w14:textId="77777777" w:rsidR="001C319E" w:rsidRPr="00CB4504" w:rsidRDefault="001C319E" w:rsidP="001C319E">
            <w:pPr>
              <w:autoSpaceDE w:val="0"/>
              <w:autoSpaceDN w:val="0"/>
              <w:adjustRightInd w:val="0"/>
              <w:jc w:val="both"/>
            </w:pPr>
          </w:p>
          <w:p w14:paraId="1B04C85D" w14:textId="77777777" w:rsidR="006A2AFA" w:rsidRDefault="00685FDA" w:rsidP="00685FDA">
            <w:pPr>
              <w:autoSpaceDE w:val="0"/>
              <w:autoSpaceDN w:val="0"/>
              <w:adjustRightInd w:val="0"/>
              <w:jc w:val="both"/>
            </w:pPr>
            <w:r w:rsidRPr="00CB4504">
              <w:t xml:space="preserve"> </w:t>
            </w:r>
          </w:p>
          <w:p w14:paraId="21874F02" w14:textId="77777777" w:rsidR="002B105C" w:rsidRPr="00CB4504" w:rsidRDefault="002B105C" w:rsidP="00CD0DB5">
            <w:pPr>
              <w:autoSpaceDE w:val="0"/>
              <w:autoSpaceDN w:val="0"/>
              <w:adjustRightInd w:val="0"/>
              <w:jc w:val="both"/>
            </w:pPr>
          </w:p>
        </w:tc>
        <w:tc>
          <w:tcPr>
            <w:tcW w:w="2388" w:type="dxa"/>
            <w:gridSpan w:val="2"/>
            <w:shd w:val="clear" w:color="auto" w:fill="auto"/>
          </w:tcPr>
          <w:p w14:paraId="5EEED48B" w14:textId="77777777" w:rsidR="00D90961" w:rsidRPr="00CB4504" w:rsidRDefault="00745D46" w:rsidP="00D90961">
            <w:pPr>
              <w:autoSpaceDE w:val="0"/>
              <w:autoSpaceDN w:val="0"/>
              <w:adjustRightInd w:val="0"/>
              <w:jc w:val="both"/>
            </w:pPr>
            <w:r w:rsidRPr="00CB4504">
              <w:t xml:space="preserve">У разі </w:t>
            </w:r>
            <w:r w:rsidR="001C319E">
              <w:t>внесення змін до існуючого регулювання</w:t>
            </w:r>
            <w:r w:rsidR="00D90961" w:rsidRPr="00CB4504">
              <w:t xml:space="preserve">: </w:t>
            </w:r>
            <w:r w:rsidRPr="00CB4504">
              <w:t xml:space="preserve"> </w:t>
            </w:r>
          </w:p>
          <w:p w14:paraId="0B5CCA04" w14:textId="77777777" w:rsidR="00D90961" w:rsidRPr="00CB4504" w:rsidRDefault="00961275" w:rsidP="00D90961">
            <w:pPr>
              <w:contextualSpacing/>
              <w:jc w:val="both"/>
            </w:pPr>
            <w:r w:rsidRPr="001C319E">
              <w:rPr>
                <w:b/>
              </w:rPr>
              <w:t xml:space="preserve">для </w:t>
            </w:r>
            <w:r w:rsidR="00D90961" w:rsidRPr="001C319E">
              <w:rPr>
                <w:b/>
              </w:rPr>
              <w:t>держав</w:t>
            </w:r>
            <w:r w:rsidRPr="001C319E">
              <w:rPr>
                <w:b/>
              </w:rPr>
              <w:t>и</w:t>
            </w:r>
            <w:r w:rsidR="00D90961" w:rsidRPr="00CB4504">
              <w:t xml:space="preserve"> </w:t>
            </w:r>
            <w:r w:rsidR="008C3408" w:rsidRPr="00CB4504">
              <w:t>–</w:t>
            </w:r>
            <w:r w:rsidR="00364C75">
              <w:t xml:space="preserve"> </w:t>
            </w:r>
            <w:r w:rsidR="00CD0DB5">
              <w:t>не прогнозуються.</w:t>
            </w:r>
          </w:p>
          <w:p w14:paraId="01BEB60D" w14:textId="77777777" w:rsidR="00FD608C" w:rsidRPr="00FD608C" w:rsidRDefault="001C319E" w:rsidP="00FD608C">
            <w:pPr>
              <w:contextualSpacing/>
              <w:jc w:val="both"/>
              <w:rPr>
                <w:b/>
              </w:rPr>
            </w:pPr>
            <w:r>
              <w:rPr>
                <w:b/>
              </w:rPr>
              <w:t>д</w:t>
            </w:r>
            <w:r w:rsidR="00961275" w:rsidRPr="001C319E">
              <w:rPr>
                <w:b/>
              </w:rPr>
              <w:t>ля</w:t>
            </w:r>
            <w:r w:rsidR="00D90961" w:rsidRPr="001C319E">
              <w:rPr>
                <w:b/>
              </w:rPr>
              <w:t xml:space="preserve"> </w:t>
            </w:r>
            <w:r w:rsidR="00745D46" w:rsidRPr="001C319E">
              <w:rPr>
                <w:b/>
              </w:rPr>
              <w:t>суб’єкт</w:t>
            </w:r>
            <w:r w:rsidR="00142C08" w:rsidRPr="001C319E">
              <w:rPr>
                <w:b/>
              </w:rPr>
              <w:t>а</w:t>
            </w:r>
            <w:r w:rsidR="00745D46" w:rsidRPr="001C319E">
              <w:rPr>
                <w:b/>
              </w:rPr>
              <w:t xml:space="preserve"> господарювання</w:t>
            </w:r>
            <w:r w:rsidR="00D90961" w:rsidRPr="00CB4504">
              <w:t xml:space="preserve"> </w:t>
            </w:r>
            <w:r w:rsidR="008C3408" w:rsidRPr="00CB4504">
              <w:t>–</w:t>
            </w:r>
            <w:r w:rsidR="00CD0DB5" w:rsidRPr="00CD0DB5">
              <w:rPr>
                <w:rFonts w:eastAsia="Calibri"/>
                <w:color w:val="000000"/>
                <w:szCs w:val="28"/>
                <w:shd w:val="clear" w:color="auto" w:fill="FFFFFF"/>
                <w:lang w:eastAsia="en-US"/>
              </w:rPr>
              <w:t xml:space="preserve"> </w:t>
            </w:r>
            <w:r w:rsidR="00FD608C" w:rsidRPr="00FD608C">
              <w:t xml:space="preserve">Прогнозуються витрати на: </w:t>
            </w:r>
            <w:r w:rsidR="00FD608C" w:rsidRPr="00FD608C">
              <w:tab/>
              <w:t xml:space="preserve">ознайомлення з вимогами регулювання (пошук та опрацювання регуляторного акту в мережі Інтернет), а саме: </w:t>
            </w:r>
            <w:r w:rsidR="00FD608C" w:rsidRPr="00FD608C">
              <w:rPr>
                <w:b/>
                <w:lang w:val="ru-RU"/>
              </w:rPr>
              <w:t>66,23</w:t>
            </w:r>
            <w:r w:rsidR="00FD608C" w:rsidRPr="00FD608C">
              <w:rPr>
                <w:b/>
              </w:rPr>
              <w:t xml:space="preserve"> грн на одного суб’єкта господарювання.</w:t>
            </w:r>
          </w:p>
          <w:p w14:paraId="0C5AC5DA" w14:textId="77777777" w:rsidR="00FD608C" w:rsidRPr="00FD608C" w:rsidRDefault="00FD608C" w:rsidP="00FD608C">
            <w:pPr>
              <w:contextualSpacing/>
              <w:jc w:val="both"/>
            </w:pPr>
            <w:r w:rsidRPr="00FD608C">
              <w:rPr>
                <w:b/>
                <w:i/>
              </w:rPr>
              <w:t>Розрахунок:</w:t>
            </w:r>
            <w:r w:rsidRPr="00FD608C">
              <w:t xml:space="preserve"> 3 год. (час, який витрачається с/г на пошук нормативно-правового акту в мережі  Інтернет та ознайомлення з ним;</w:t>
            </w:r>
            <w:r w:rsidRPr="00FD608C">
              <w:rPr>
                <w:lang w:val="ru-RU"/>
              </w:rPr>
              <w:t xml:space="preserve"> </w:t>
            </w:r>
            <w:r w:rsidRPr="00FD608C">
              <w:t xml:space="preserve">Х </w:t>
            </w:r>
            <w:r w:rsidRPr="00FD608C">
              <w:rPr>
                <w:lang w:val="ru-RU"/>
              </w:rPr>
              <w:t>22,41</w:t>
            </w:r>
            <w:r w:rsidRPr="00FD608C">
              <w:t xml:space="preserve"> грн. = </w:t>
            </w:r>
          </w:p>
          <w:p w14:paraId="1164E75C" w14:textId="77777777" w:rsidR="00FD608C" w:rsidRPr="00FD608C" w:rsidRDefault="00FD608C" w:rsidP="00FD608C">
            <w:pPr>
              <w:contextualSpacing/>
              <w:jc w:val="both"/>
              <w:rPr>
                <w:b/>
              </w:rPr>
            </w:pPr>
            <w:r w:rsidRPr="00FD608C">
              <w:rPr>
                <w:b/>
                <w:lang w:val="ru-RU"/>
              </w:rPr>
              <w:t>66,23</w:t>
            </w:r>
            <w:r w:rsidRPr="00FD608C">
              <w:rPr>
                <w:b/>
              </w:rPr>
              <w:t xml:space="preserve"> грн.</w:t>
            </w:r>
          </w:p>
          <w:p w14:paraId="670C7081" w14:textId="62AD908A" w:rsidR="00FD608C" w:rsidRPr="00FD608C" w:rsidRDefault="00FD608C" w:rsidP="00FD608C">
            <w:pPr>
              <w:contextualSpacing/>
              <w:jc w:val="both"/>
            </w:pPr>
            <w:r w:rsidRPr="00FD608C">
              <w:t xml:space="preserve">8 год. (час, необхідний </w:t>
            </w:r>
            <w:r w:rsidR="00A62A05">
              <w:t>для організації виконання вимог регулювання</w:t>
            </w:r>
            <w:r w:rsidRPr="00FD608C">
              <w:t xml:space="preserve"> (за результатами консультацій)) Х </w:t>
            </w:r>
            <w:r w:rsidRPr="00FD608C">
              <w:rPr>
                <w:lang w:val="ru-RU"/>
              </w:rPr>
              <w:t>22,41</w:t>
            </w:r>
            <w:r w:rsidRPr="00FD608C">
              <w:t xml:space="preserve"> грн. Х 1 процедура(прийняття наказу по </w:t>
            </w:r>
            <w:r w:rsidRPr="00FD608C">
              <w:lastRenderedPageBreak/>
              <w:t xml:space="preserve">підприємству)=         </w:t>
            </w:r>
            <w:r w:rsidRPr="00FD608C">
              <w:rPr>
                <w:b/>
              </w:rPr>
              <w:t xml:space="preserve"> </w:t>
            </w:r>
            <w:r w:rsidRPr="00FD608C">
              <w:rPr>
                <w:b/>
                <w:lang w:val="ru-RU"/>
              </w:rPr>
              <w:t>179,28</w:t>
            </w:r>
            <w:r w:rsidRPr="00FD608C">
              <w:rPr>
                <w:b/>
              </w:rPr>
              <w:t xml:space="preserve"> грн.</w:t>
            </w:r>
          </w:p>
          <w:p w14:paraId="6344E961" w14:textId="77777777" w:rsidR="00FD608C" w:rsidRPr="00FD608C" w:rsidRDefault="00FD608C" w:rsidP="00FD608C">
            <w:pPr>
              <w:contextualSpacing/>
              <w:jc w:val="both"/>
              <w:rPr>
                <w:b/>
              </w:rPr>
            </w:pPr>
            <w:r w:rsidRPr="00FD608C">
              <w:rPr>
                <w:b/>
              </w:rPr>
              <w:t>Витрати для всіх складатимуть близько 3</w:t>
            </w:r>
            <w:r w:rsidRPr="00FD608C">
              <w:rPr>
                <w:b/>
                <w:lang w:val="ru-RU"/>
              </w:rPr>
              <w:t xml:space="preserve">9 </w:t>
            </w:r>
            <w:r w:rsidRPr="00FD608C">
              <w:rPr>
                <w:b/>
              </w:rPr>
              <w:t>млн.грн.</w:t>
            </w:r>
          </w:p>
          <w:p w14:paraId="65BA0E98" w14:textId="77777777" w:rsidR="00CD0DB5" w:rsidRPr="00CD0DB5" w:rsidRDefault="00CD0DB5" w:rsidP="00FD608C">
            <w:pPr>
              <w:contextualSpacing/>
              <w:jc w:val="both"/>
              <w:rPr>
                <w:b/>
              </w:rPr>
            </w:pPr>
          </w:p>
          <w:p w14:paraId="2DCECDB0" w14:textId="77777777" w:rsidR="00961275" w:rsidRPr="00CB4504" w:rsidRDefault="00961275" w:rsidP="00961275">
            <w:pPr>
              <w:contextualSpacing/>
              <w:jc w:val="both"/>
              <w:rPr>
                <w:shd w:val="clear" w:color="auto" w:fill="FFFFFF"/>
              </w:rPr>
            </w:pPr>
          </w:p>
          <w:p w14:paraId="71B5A510" w14:textId="77777777" w:rsidR="00A727F2" w:rsidRPr="00CB4504" w:rsidRDefault="00A727F2" w:rsidP="001C319E">
            <w:pPr>
              <w:contextualSpacing/>
              <w:jc w:val="both"/>
              <w:rPr>
                <w:strike/>
              </w:rPr>
            </w:pPr>
          </w:p>
        </w:tc>
        <w:tc>
          <w:tcPr>
            <w:tcW w:w="2970" w:type="dxa"/>
            <w:shd w:val="clear" w:color="auto" w:fill="auto"/>
          </w:tcPr>
          <w:p w14:paraId="608A45A1" w14:textId="77777777" w:rsidR="00745D46" w:rsidRPr="00CB4504" w:rsidRDefault="00C42F55" w:rsidP="00745D46">
            <w:pPr>
              <w:contextualSpacing/>
              <w:jc w:val="both"/>
            </w:pPr>
            <w:r w:rsidRPr="00CB4504">
              <w:rPr>
                <w:spacing w:val="-4"/>
              </w:rPr>
              <w:lastRenderedPageBreak/>
              <w:t>У разі прийняття акта задекларовані цілі будуть досягнуті повною мірою</w:t>
            </w:r>
            <w:r w:rsidR="00745D46" w:rsidRPr="00CB4504">
              <w:rPr>
                <w:spacing w:val="-4"/>
              </w:rPr>
              <w:t xml:space="preserve">, що повністю забезпечить </w:t>
            </w:r>
          </w:p>
          <w:p w14:paraId="339E2434" w14:textId="77777777" w:rsidR="006A2AFA" w:rsidRPr="00CB4504" w:rsidRDefault="00745D46" w:rsidP="00770C90">
            <w:pPr>
              <w:jc w:val="both"/>
            </w:pPr>
            <w:r w:rsidRPr="00CB4504">
              <w:t xml:space="preserve">потребу у вирішенні проблеми, встановить </w:t>
            </w:r>
            <w:r w:rsidR="00770C90" w:rsidRPr="00CB4504">
              <w:t xml:space="preserve">зрозуміле </w:t>
            </w:r>
            <w:r w:rsidR="001C319E">
              <w:t>загальне</w:t>
            </w:r>
            <w:r w:rsidR="001A7759">
              <w:t xml:space="preserve"> </w:t>
            </w:r>
            <w:r w:rsidR="00770C90" w:rsidRPr="00CB4504">
              <w:t>регулювання</w:t>
            </w:r>
            <w:r w:rsidR="000B77A9" w:rsidRPr="00CB4504">
              <w:t>.</w:t>
            </w:r>
          </w:p>
        </w:tc>
      </w:tr>
      <w:tr w:rsidR="00CB4504" w:rsidRPr="00CB4504" w14:paraId="69ACEA87" w14:textId="77777777" w:rsidTr="00036BA5">
        <w:tc>
          <w:tcPr>
            <w:tcW w:w="2183" w:type="dxa"/>
            <w:gridSpan w:val="2"/>
            <w:shd w:val="clear" w:color="auto" w:fill="auto"/>
          </w:tcPr>
          <w:p w14:paraId="2645C987" w14:textId="77777777" w:rsidR="006A2AFA" w:rsidRPr="00CB4504" w:rsidRDefault="00C42F55" w:rsidP="007B60CB">
            <w:r w:rsidRPr="00CB4504">
              <w:rPr>
                <w:iCs/>
              </w:rPr>
              <w:t>Залишення існуючої на даний момент ситуації без змін</w:t>
            </w:r>
          </w:p>
        </w:tc>
        <w:tc>
          <w:tcPr>
            <w:tcW w:w="2989" w:type="dxa"/>
            <w:shd w:val="clear" w:color="auto" w:fill="auto"/>
          </w:tcPr>
          <w:p w14:paraId="5E51178F" w14:textId="77777777" w:rsidR="006A2AFA" w:rsidRPr="00CB4504" w:rsidRDefault="00F648A8" w:rsidP="00F648A8">
            <w:pPr>
              <w:spacing w:after="160"/>
              <w:contextualSpacing/>
              <w:jc w:val="both"/>
            </w:pPr>
            <w:r w:rsidRPr="00CB4504">
              <w:rPr>
                <w:iCs/>
              </w:rPr>
              <w:t>У разі залишення існуючої на даний момент ситуації без змін, вигоди для держави</w:t>
            </w:r>
            <w:r w:rsidR="001C319E">
              <w:rPr>
                <w:iCs/>
              </w:rPr>
              <w:t xml:space="preserve"> </w:t>
            </w:r>
            <w:r w:rsidR="007A1351" w:rsidRPr="00CB4504">
              <w:rPr>
                <w:iCs/>
              </w:rPr>
              <w:t xml:space="preserve">та суб’єктів господарювання </w:t>
            </w:r>
            <w:r w:rsidRPr="00CB4504">
              <w:rPr>
                <w:iCs/>
              </w:rPr>
              <w:t xml:space="preserve"> відсутні</w:t>
            </w:r>
            <w:r w:rsidR="0019254A" w:rsidRPr="00CB4504">
              <w:rPr>
                <w:iCs/>
              </w:rPr>
              <w:t>.</w:t>
            </w:r>
          </w:p>
        </w:tc>
        <w:tc>
          <w:tcPr>
            <w:tcW w:w="2388" w:type="dxa"/>
            <w:gridSpan w:val="2"/>
            <w:shd w:val="clear" w:color="auto" w:fill="auto"/>
          </w:tcPr>
          <w:p w14:paraId="6801A8C8" w14:textId="77777777" w:rsidR="00BF33F5" w:rsidRPr="00CB4504" w:rsidRDefault="00F648A8" w:rsidP="00BD70D2">
            <w:pPr>
              <w:contextualSpacing/>
              <w:jc w:val="both"/>
              <w:rPr>
                <w:spacing w:val="-4"/>
              </w:rPr>
            </w:pPr>
            <w:r w:rsidRPr="00CB4504">
              <w:rPr>
                <w:spacing w:val="-4"/>
              </w:rPr>
              <w:t xml:space="preserve">У разі залишення існуючої на даний момент ситуації без змін, </w:t>
            </w:r>
            <w:r w:rsidR="007A1351" w:rsidRPr="00CB4504">
              <w:rPr>
                <w:spacing w:val="-4"/>
              </w:rPr>
              <w:t>витрати</w:t>
            </w:r>
            <w:r w:rsidR="00BD70D2" w:rsidRPr="00CB4504">
              <w:rPr>
                <w:spacing w:val="-4"/>
              </w:rPr>
              <w:t>:</w:t>
            </w:r>
            <w:r w:rsidRPr="00CB4504">
              <w:rPr>
                <w:spacing w:val="-4"/>
              </w:rPr>
              <w:t xml:space="preserve"> </w:t>
            </w:r>
          </w:p>
          <w:p w14:paraId="22B4E6B6" w14:textId="77777777" w:rsidR="00BD70D2" w:rsidRPr="00CB4504" w:rsidRDefault="00BF33F5" w:rsidP="00BD70D2">
            <w:pPr>
              <w:contextualSpacing/>
              <w:jc w:val="both"/>
              <w:rPr>
                <w:spacing w:val="-4"/>
              </w:rPr>
            </w:pPr>
            <w:r w:rsidRPr="001C319E">
              <w:rPr>
                <w:b/>
                <w:spacing w:val="-4"/>
              </w:rPr>
              <w:t xml:space="preserve">для </w:t>
            </w:r>
            <w:r w:rsidR="00F648A8" w:rsidRPr="001C319E">
              <w:rPr>
                <w:b/>
                <w:spacing w:val="-4"/>
              </w:rPr>
              <w:t>держави</w:t>
            </w:r>
            <w:r w:rsidR="000C4EDC" w:rsidRPr="00CB4504">
              <w:rPr>
                <w:spacing w:val="-4"/>
              </w:rPr>
              <w:t xml:space="preserve"> </w:t>
            </w:r>
            <w:r w:rsidR="00961403" w:rsidRPr="00CB4504">
              <w:rPr>
                <w:spacing w:val="-4"/>
              </w:rPr>
              <w:t xml:space="preserve">передбачаються </w:t>
            </w:r>
            <w:bookmarkStart w:id="4" w:name="_Hlk502677206"/>
            <w:r w:rsidR="00FE04F5" w:rsidRPr="00CB4504">
              <w:rPr>
                <w:spacing w:val="-4"/>
              </w:rPr>
              <w:t xml:space="preserve">в </w:t>
            </w:r>
            <w:r w:rsidR="001D2050" w:rsidRPr="00CB4504">
              <w:rPr>
                <w:spacing w:val="-4"/>
              </w:rPr>
              <w:t>межах коштів, передбачених на фінансування органів</w:t>
            </w:r>
            <w:r w:rsidR="00CD0DB5">
              <w:rPr>
                <w:spacing w:val="-4"/>
              </w:rPr>
              <w:t xml:space="preserve"> ліцензування</w:t>
            </w:r>
            <w:r w:rsidR="001D2050" w:rsidRPr="00CB4504">
              <w:rPr>
                <w:spacing w:val="-4"/>
              </w:rPr>
              <w:t xml:space="preserve"> на відповідний бюджетний період.</w:t>
            </w:r>
          </w:p>
          <w:bookmarkEnd w:id="4"/>
          <w:p w14:paraId="110396BB" w14:textId="77777777" w:rsidR="006A2AFA" w:rsidRDefault="001C319E" w:rsidP="00BE4780">
            <w:pPr>
              <w:contextualSpacing/>
              <w:jc w:val="both"/>
              <w:rPr>
                <w:spacing w:val="-4"/>
              </w:rPr>
            </w:pPr>
            <w:r w:rsidRPr="001C319E">
              <w:rPr>
                <w:b/>
                <w:shd w:val="clear" w:color="auto" w:fill="FFFFFF"/>
              </w:rPr>
              <w:t>д</w:t>
            </w:r>
            <w:r w:rsidR="00DB3682" w:rsidRPr="001C319E">
              <w:rPr>
                <w:b/>
                <w:shd w:val="clear" w:color="auto" w:fill="FFFFFF"/>
              </w:rPr>
              <w:t xml:space="preserve">ля </w:t>
            </w:r>
            <w:r w:rsidR="00DB3682" w:rsidRPr="001C319E">
              <w:rPr>
                <w:b/>
                <w:iCs/>
              </w:rPr>
              <w:t>суб’єктів господарювання</w:t>
            </w:r>
            <w:r w:rsidR="00DB3682" w:rsidRPr="00CB4504">
              <w:rPr>
                <w:iCs/>
              </w:rPr>
              <w:t xml:space="preserve"> </w:t>
            </w:r>
            <w:r w:rsidR="00DB3682" w:rsidRPr="00CB4504">
              <w:rPr>
                <w:spacing w:val="-4"/>
              </w:rPr>
              <w:t xml:space="preserve"> </w:t>
            </w:r>
            <w:r w:rsidR="00CD0DB5">
              <w:rPr>
                <w:spacing w:val="-4"/>
              </w:rPr>
              <w:t>- п</w:t>
            </w:r>
            <w:r w:rsidR="00CD0DB5" w:rsidRPr="00CD0DB5">
              <w:rPr>
                <w:spacing w:val="-4"/>
              </w:rPr>
              <w:t>ризводить до значних фінансових витрат. Додаткові витрати для всіх с/г складають близько 1 млрд. грн в рік.</w:t>
            </w:r>
          </w:p>
          <w:p w14:paraId="51BA49C4" w14:textId="77777777" w:rsidR="001C319E" w:rsidRPr="00CB4504" w:rsidRDefault="001C319E" w:rsidP="00BE4780">
            <w:pPr>
              <w:contextualSpacing/>
              <w:jc w:val="both"/>
              <w:rPr>
                <w:iCs/>
              </w:rPr>
            </w:pPr>
          </w:p>
        </w:tc>
        <w:tc>
          <w:tcPr>
            <w:tcW w:w="2970" w:type="dxa"/>
            <w:shd w:val="clear" w:color="auto" w:fill="auto"/>
          </w:tcPr>
          <w:p w14:paraId="72ACC921" w14:textId="77777777" w:rsidR="006A2AFA" w:rsidRPr="00CB4504" w:rsidRDefault="00C42F55" w:rsidP="001D4685">
            <w:pPr>
              <w:contextualSpacing/>
              <w:jc w:val="both"/>
            </w:pPr>
            <w:r w:rsidRPr="00CB4504">
              <w:rPr>
                <w:shd w:val="clear" w:color="auto" w:fill="FFFFFF"/>
              </w:rPr>
              <w:t>У разі залишення існуючої на даний момент ситуації без змін проблема продовжуватиме існувати, що не забезпечить досягнення поставленої мети</w:t>
            </w:r>
            <w:r w:rsidR="0019254A" w:rsidRPr="00CB4504">
              <w:rPr>
                <w:shd w:val="clear" w:color="auto" w:fill="FFFFFF"/>
              </w:rPr>
              <w:t>.</w:t>
            </w:r>
          </w:p>
        </w:tc>
      </w:tr>
    </w:tbl>
    <w:p w14:paraId="29AE1A7B" w14:textId="77777777" w:rsidR="006A2AFA" w:rsidRPr="00CB4504" w:rsidRDefault="006A2AFA" w:rsidP="006A2AFA">
      <w:pPr>
        <w:spacing w:after="160"/>
        <w:ind w:firstLine="709"/>
        <w:contextualSpacing/>
        <w:jc w:val="both"/>
        <w:rPr>
          <w:sz w:val="28"/>
          <w:szCs w:val="28"/>
        </w:rPr>
      </w:pPr>
    </w:p>
    <w:tbl>
      <w:tblPr>
        <w:tblW w:w="1077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680"/>
        <w:gridCol w:w="3285"/>
      </w:tblGrid>
      <w:tr w:rsidR="00CB4504" w:rsidRPr="00CB4504" w14:paraId="6E124CEA" w14:textId="77777777" w:rsidTr="00CA761C">
        <w:tc>
          <w:tcPr>
            <w:tcW w:w="2806" w:type="dxa"/>
            <w:shd w:val="clear" w:color="auto" w:fill="auto"/>
          </w:tcPr>
          <w:p w14:paraId="173AA792" w14:textId="77777777" w:rsidR="006A2AFA" w:rsidRPr="00CB4504" w:rsidRDefault="006A2AFA" w:rsidP="007B60CB">
            <w:pPr>
              <w:spacing w:after="160"/>
              <w:contextualSpacing/>
              <w:jc w:val="center"/>
            </w:pPr>
            <w:r w:rsidRPr="00CB4504">
              <w:t>Рейтинг</w:t>
            </w:r>
          </w:p>
        </w:tc>
        <w:tc>
          <w:tcPr>
            <w:tcW w:w="4680" w:type="dxa"/>
            <w:shd w:val="clear" w:color="auto" w:fill="auto"/>
          </w:tcPr>
          <w:p w14:paraId="403B3912" w14:textId="77777777" w:rsidR="006A2AFA" w:rsidRPr="00CB4504" w:rsidRDefault="006A2AFA" w:rsidP="007B60CB">
            <w:pPr>
              <w:spacing w:after="160"/>
              <w:contextualSpacing/>
              <w:jc w:val="center"/>
            </w:pPr>
            <w:r w:rsidRPr="00CB4504">
              <w:t>Аргументи щодо переваги обраної альтернативи / причини відмови від альтернативи</w:t>
            </w:r>
          </w:p>
        </w:tc>
        <w:tc>
          <w:tcPr>
            <w:tcW w:w="3285" w:type="dxa"/>
            <w:shd w:val="clear" w:color="auto" w:fill="auto"/>
          </w:tcPr>
          <w:p w14:paraId="3B0947BF" w14:textId="77777777" w:rsidR="006A2AFA" w:rsidRPr="00CB4504" w:rsidRDefault="006A2AFA" w:rsidP="005A21D8">
            <w:pPr>
              <w:contextualSpacing/>
              <w:jc w:val="center"/>
            </w:pPr>
            <w:r w:rsidRPr="00CB4504">
              <w:t>Оцінка ризику зовнішніх чинників на дію запропонованого регуляторного акта</w:t>
            </w:r>
          </w:p>
        </w:tc>
      </w:tr>
      <w:tr w:rsidR="00CB4504" w:rsidRPr="00CB4504" w14:paraId="3FD59291" w14:textId="77777777" w:rsidTr="00CA761C">
        <w:tc>
          <w:tcPr>
            <w:tcW w:w="2806" w:type="dxa"/>
            <w:shd w:val="clear" w:color="auto" w:fill="auto"/>
          </w:tcPr>
          <w:p w14:paraId="4F1DA7BD" w14:textId="77777777" w:rsidR="006A2AFA" w:rsidRPr="00CB4504" w:rsidRDefault="007A1351" w:rsidP="007B60CB">
            <w:pPr>
              <w:jc w:val="both"/>
            </w:pPr>
            <w:r w:rsidRPr="00CB4504">
              <w:rPr>
                <w:iCs/>
              </w:rPr>
              <w:t>Залишення існуючої на даний момент ситуації без змін</w:t>
            </w:r>
          </w:p>
        </w:tc>
        <w:tc>
          <w:tcPr>
            <w:tcW w:w="4680" w:type="dxa"/>
            <w:shd w:val="clear" w:color="auto" w:fill="auto"/>
          </w:tcPr>
          <w:p w14:paraId="3FB8EBE1" w14:textId="77777777" w:rsidR="006A2AFA" w:rsidRDefault="0019254A" w:rsidP="00DE3742">
            <w:pPr>
              <w:jc w:val="both"/>
            </w:pPr>
            <w:r w:rsidRPr="008C467E">
              <w:t>Н</w:t>
            </w:r>
            <w:r w:rsidR="007A1351" w:rsidRPr="008C467E">
              <w:t>е забезпечується досягнення ціл</w:t>
            </w:r>
            <w:r w:rsidR="005A21D8" w:rsidRPr="008C467E">
              <w:t>і</w:t>
            </w:r>
            <w:r w:rsidR="007A1351" w:rsidRPr="008C467E">
              <w:t xml:space="preserve"> щодо </w:t>
            </w:r>
            <w:r w:rsidR="008C467E" w:rsidRPr="008C467E">
              <w:t>удосконалення вже запроваджених державою принципів та процедур ліцензування, з метою чіткого їх окреслення, усунення правових колізій та  унеможливлення порушення прав суб’єктів господарювання</w:t>
            </w:r>
            <w:r w:rsidR="00CD0DB5">
              <w:t>.</w:t>
            </w:r>
          </w:p>
          <w:p w14:paraId="343DF7FF" w14:textId="77777777" w:rsidR="00CD0DB5" w:rsidRPr="00CD0DB5" w:rsidRDefault="00CD0DB5" w:rsidP="00CD0DB5">
            <w:pPr>
              <w:jc w:val="both"/>
              <w:rPr>
                <w:b/>
              </w:rPr>
            </w:pPr>
            <w:r w:rsidRPr="00CD0DB5">
              <w:t xml:space="preserve">Зважаючи на те, що орієнтовна кількість ліцензіатів з різних сфер господарської діяльності, складає </w:t>
            </w:r>
            <w:r w:rsidRPr="00C7561B">
              <w:t>близько 162571 суб</w:t>
            </w:r>
            <w:r w:rsidRPr="00CD0DB5">
              <w:t xml:space="preserve">’єктів, відповідно додаткові витрати на адміністративно-організаційні заходи, що виникають у зв’язку з недосконалим регулюванням </w:t>
            </w:r>
            <w:r w:rsidRPr="00CD0DB5">
              <w:rPr>
                <w:b/>
              </w:rPr>
              <w:t>сягають більше</w:t>
            </w:r>
            <w:r w:rsidR="00577C27">
              <w:rPr>
                <w:b/>
              </w:rPr>
              <w:t xml:space="preserve"> </w:t>
            </w:r>
            <w:r w:rsidRPr="00CD0DB5">
              <w:rPr>
                <w:b/>
              </w:rPr>
              <w:t>1 млрд. грн. в рік.</w:t>
            </w:r>
          </w:p>
          <w:p w14:paraId="485FC2A2" w14:textId="77777777" w:rsidR="00CD0DB5" w:rsidRPr="00CB4504" w:rsidRDefault="00CD0DB5" w:rsidP="00DE3742">
            <w:pPr>
              <w:jc w:val="both"/>
            </w:pPr>
          </w:p>
        </w:tc>
        <w:tc>
          <w:tcPr>
            <w:tcW w:w="3285" w:type="dxa"/>
            <w:shd w:val="clear" w:color="auto" w:fill="auto"/>
          </w:tcPr>
          <w:p w14:paraId="1CBAA841" w14:textId="77777777" w:rsidR="006A2AFA" w:rsidRPr="00CB4504" w:rsidRDefault="0019254A" w:rsidP="00FC4940">
            <w:pPr>
              <w:spacing w:after="160"/>
              <w:contextualSpacing/>
              <w:jc w:val="both"/>
            </w:pPr>
            <w:r w:rsidRPr="00CB4504">
              <w:t>З</w:t>
            </w:r>
            <w:r w:rsidR="007A1351" w:rsidRPr="00CB4504">
              <w:t>овнішні чинники на дію регуляторного акта у разі з</w:t>
            </w:r>
            <w:r w:rsidR="007A1351" w:rsidRPr="00CB4504">
              <w:rPr>
                <w:iCs/>
              </w:rPr>
              <w:t>алишення існуючої на даний момент ситуації без змін відсутні.</w:t>
            </w:r>
          </w:p>
        </w:tc>
      </w:tr>
      <w:tr w:rsidR="00CB4504" w:rsidRPr="00CB4504" w14:paraId="374389CD" w14:textId="77777777" w:rsidTr="00CA761C">
        <w:trPr>
          <w:trHeight w:val="3073"/>
        </w:trPr>
        <w:tc>
          <w:tcPr>
            <w:tcW w:w="2806" w:type="dxa"/>
            <w:shd w:val="clear" w:color="auto" w:fill="auto"/>
          </w:tcPr>
          <w:p w14:paraId="7F648D0E" w14:textId="77777777" w:rsidR="006A2AFA" w:rsidRPr="00CB4504" w:rsidRDefault="001C319E" w:rsidP="007B60CB">
            <w:r>
              <w:lastRenderedPageBreak/>
              <w:t>Внесення змін до існуючого регулювання</w:t>
            </w:r>
          </w:p>
        </w:tc>
        <w:tc>
          <w:tcPr>
            <w:tcW w:w="4680" w:type="dxa"/>
            <w:shd w:val="clear" w:color="auto" w:fill="auto"/>
          </w:tcPr>
          <w:p w14:paraId="4F843DC2" w14:textId="77777777" w:rsidR="008C3408" w:rsidRPr="008C467E" w:rsidRDefault="0019254A" w:rsidP="00AC5C5D">
            <w:pPr>
              <w:jc w:val="both"/>
            </w:pPr>
            <w:r w:rsidRPr="008C467E">
              <w:t>З</w:t>
            </w:r>
            <w:r w:rsidR="00DE3742" w:rsidRPr="008C467E">
              <w:t>абезпечить</w:t>
            </w:r>
            <w:r w:rsidR="008C467E" w:rsidRPr="00C7561B">
              <w:t xml:space="preserve"> </w:t>
            </w:r>
            <w:r w:rsidR="008C467E" w:rsidRPr="008C467E">
              <w:t>удосконалення вже запроваджених державою принципів та процедур ліцензування, з метою чіткого їх окреслення, усунення правових колізій та  унеможливлення порушення прав суб’єктів господарювання.</w:t>
            </w:r>
          </w:p>
          <w:p w14:paraId="1F421611" w14:textId="77777777" w:rsidR="00D42845" w:rsidRPr="008C467E" w:rsidRDefault="008C3408" w:rsidP="00D42845">
            <w:pPr>
              <w:jc w:val="both"/>
            </w:pPr>
            <w:r w:rsidRPr="008C467E">
              <w:t>П</w:t>
            </w:r>
            <w:r w:rsidR="00D42845" w:rsidRPr="008C467E">
              <w:t>овністю відповідає потребам у вирішенні проблеми;</w:t>
            </w:r>
          </w:p>
          <w:p w14:paraId="455554CE" w14:textId="77777777" w:rsidR="000D3338" w:rsidRDefault="008C3408" w:rsidP="00D42845">
            <w:pPr>
              <w:contextualSpacing/>
              <w:jc w:val="both"/>
            </w:pPr>
            <w:r w:rsidRPr="008C467E">
              <w:t>В</w:t>
            </w:r>
            <w:r w:rsidR="00D42845" w:rsidRPr="008C467E">
              <w:t>становлює зрозуміле</w:t>
            </w:r>
            <w:r w:rsidRPr="008C467E">
              <w:t xml:space="preserve"> та прозоре</w:t>
            </w:r>
            <w:r w:rsidR="00D42845" w:rsidRPr="008C467E">
              <w:t xml:space="preserve"> </w:t>
            </w:r>
            <w:r w:rsidR="00AC5C5D" w:rsidRPr="008C467E">
              <w:t>загальне</w:t>
            </w:r>
            <w:r w:rsidRPr="008C467E">
              <w:t xml:space="preserve"> </w:t>
            </w:r>
            <w:r w:rsidR="00D42845" w:rsidRPr="008C467E">
              <w:t>регулювання</w:t>
            </w:r>
            <w:r w:rsidR="0019254A" w:rsidRPr="008C467E">
              <w:t>.</w:t>
            </w:r>
          </w:p>
          <w:p w14:paraId="75A33960" w14:textId="77777777" w:rsidR="00CD0DB5" w:rsidRPr="00CD0DB5" w:rsidRDefault="00CD0DB5" w:rsidP="00CD0DB5">
            <w:pPr>
              <w:contextualSpacing/>
              <w:jc w:val="both"/>
              <w:rPr>
                <w:b/>
              </w:rPr>
            </w:pPr>
            <w:r w:rsidRPr="00CD0DB5">
              <w:rPr>
                <w:b/>
              </w:rPr>
              <w:t>Сприятиме зменшенню фінансових витрат бізнесу близько 960 млн.грн в рік.</w:t>
            </w:r>
          </w:p>
          <w:p w14:paraId="11DD1037" w14:textId="77777777" w:rsidR="00CD0DB5" w:rsidRPr="00CB4504" w:rsidRDefault="00CD0DB5" w:rsidP="00D42845">
            <w:pPr>
              <w:contextualSpacing/>
              <w:jc w:val="both"/>
            </w:pPr>
          </w:p>
        </w:tc>
        <w:tc>
          <w:tcPr>
            <w:tcW w:w="3285" w:type="dxa"/>
            <w:shd w:val="clear" w:color="auto" w:fill="auto"/>
          </w:tcPr>
          <w:p w14:paraId="68C3B6AA" w14:textId="77777777" w:rsidR="006A2AFA" w:rsidRPr="008C467E" w:rsidRDefault="00F62812" w:rsidP="00DE3742">
            <w:pPr>
              <w:spacing w:after="160"/>
              <w:contextualSpacing/>
              <w:jc w:val="both"/>
              <w:rPr>
                <w:color w:val="FF0000"/>
                <w:lang w:val="ru-RU"/>
              </w:rPr>
            </w:pPr>
            <w:r w:rsidRPr="008C467E">
              <w:t>На дію цього регуляторного акта негативно може вплинути підвищення рівня інфляції, що призведе до збільшення фінансових витрат</w:t>
            </w:r>
            <w:r w:rsidR="008C467E" w:rsidRPr="008C467E">
              <w:t>.</w:t>
            </w:r>
          </w:p>
        </w:tc>
      </w:tr>
    </w:tbl>
    <w:p w14:paraId="350A427C" w14:textId="77777777" w:rsidR="004B4983" w:rsidRPr="00CB4504" w:rsidRDefault="004B4983" w:rsidP="00C54C73">
      <w:pPr>
        <w:ind w:firstLine="709"/>
        <w:jc w:val="both"/>
        <w:rPr>
          <w:sz w:val="28"/>
          <w:szCs w:val="28"/>
        </w:rPr>
      </w:pPr>
    </w:p>
    <w:p w14:paraId="65A54DAF" w14:textId="77777777" w:rsidR="00370090" w:rsidRPr="00451CB1" w:rsidRDefault="00370090" w:rsidP="00036BA5">
      <w:pPr>
        <w:ind w:left="-990"/>
        <w:jc w:val="center"/>
        <w:rPr>
          <w:b/>
          <w:sz w:val="28"/>
          <w:szCs w:val="28"/>
        </w:rPr>
      </w:pPr>
      <w:r w:rsidRPr="00451CB1">
        <w:rPr>
          <w:b/>
          <w:sz w:val="28"/>
          <w:szCs w:val="28"/>
          <w:lang w:val="en-US"/>
        </w:rPr>
        <w:t>V</w:t>
      </w:r>
      <w:r w:rsidRPr="00451CB1">
        <w:rPr>
          <w:b/>
          <w:sz w:val="28"/>
          <w:szCs w:val="28"/>
        </w:rPr>
        <w:t xml:space="preserve">. Механізми та заходи, які забезпечать </w:t>
      </w:r>
      <w:r w:rsidR="0017454F" w:rsidRPr="00451CB1">
        <w:rPr>
          <w:b/>
          <w:sz w:val="28"/>
          <w:szCs w:val="28"/>
        </w:rPr>
        <w:t>розв’язання</w:t>
      </w:r>
      <w:r w:rsidRPr="00451CB1">
        <w:rPr>
          <w:b/>
          <w:sz w:val="28"/>
          <w:szCs w:val="28"/>
          <w:lang w:val="ru-RU"/>
        </w:rPr>
        <w:t xml:space="preserve"> </w:t>
      </w:r>
      <w:r w:rsidRPr="00451CB1">
        <w:rPr>
          <w:b/>
          <w:sz w:val="28"/>
          <w:szCs w:val="28"/>
        </w:rPr>
        <w:t>визначеної</w:t>
      </w:r>
      <w:r w:rsidRPr="00451CB1">
        <w:rPr>
          <w:b/>
          <w:sz w:val="28"/>
          <w:szCs w:val="28"/>
          <w:lang w:val="ru-RU"/>
        </w:rPr>
        <w:t xml:space="preserve"> </w:t>
      </w:r>
      <w:r w:rsidRPr="00451CB1">
        <w:rPr>
          <w:b/>
          <w:sz w:val="28"/>
          <w:szCs w:val="28"/>
        </w:rPr>
        <w:t>проблеми</w:t>
      </w:r>
    </w:p>
    <w:p w14:paraId="11A22D16" w14:textId="77777777" w:rsidR="00EB2D39" w:rsidRDefault="002E66FB" w:rsidP="00036BA5">
      <w:pPr>
        <w:ind w:left="-990" w:firstLine="990"/>
        <w:jc w:val="both"/>
        <w:rPr>
          <w:sz w:val="28"/>
          <w:szCs w:val="28"/>
        </w:rPr>
      </w:pPr>
      <w:r>
        <w:rPr>
          <w:sz w:val="28"/>
          <w:szCs w:val="28"/>
        </w:rPr>
        <w:t>Р</w:t>
      </w:r>
      <w:r w:rsidR="00EB2D39" w:rsidRPr="00CB4504">
        <w:rPr>
          <w:sz w:val="28"/>
          <w:szCs w:val="28"/>
        </w:rPr>
        <w:t xml:space="preserve">озв’язання </w:t>
      </w:r>
      <w:r>
        <w:rPr>
          <w:sz w:val="28"/>
          <w:szCs w:val="28"/>
        </w:rPr>
        <w:t xml:space="preserve">даних </w:t>
      </w:r>
      <w:r w:rsidR="00EB2D39" w:rsidRPr="00CB4504">
        <w:rPr>
          <w:sz w:val="28"/>
          <w:szCs w:val="28"/>
        </w:rPr>
        <w:t>проблем</w:t>
      </w:r>
      <w:r>
        <w:rPr>
          <w:sz w:val="28"/>
          <w:szCs w:val="28"/>
        </w:rPr>
        <w:t xml:space="preserve"> можливо здійснити шляхом</w:t>
      </w:r>
      <w:r w:rsidR="00EB2D39" w:rsidRPr="00CB4504">
        <w:rPr>
          <w:sz w:val="28"/>
          <w:szCs w:val="28"/>
        </w:rPr>
        <w:t>:</w:t>
      </w:r>
    </w:p>
    <w:p w14:paraId="15A857CC" w14:textId="77777777" w:rsidR="002E66FB" w:rsidRPr="00AC5C5D" w:rsidRDefault="002E66FB" w:rsidP="002E66FB">
      <w:pPr>
        <w:widowControl w:val="0"/>
        <w:autoSpaceDE w:val="0"/>
        <w:autoSpaceDN w:val="0"/>
        <w:ind w:left="-990" w:firstLine="709"/>
        <w:jc w:val="both"/>
        <w:rPr>
          <w:sz w:val="28"/>
          <w:szCs w:val="28"/>
          <w:lang w:eastAsia="uk-UA"/>
        </w:rPr>
      </w:pPr>
      <w:r w:rsidRPr="00AC5C5D">
        <w:rPr>
          <w:sz w:val="28"/>
          <w:szCs w:val="28"/>
          <w:lang w:eastAsia="uk-UA"/>
        </w:rPr>
        <w:t xml:space="preserve">зобов’язання центрального органу виконавчої влади, який реалізує державну політику у сферах казначейського обслуговування бюджетних коштів, надавати органам ліцензування доступ до інформації щодо внесення </w:t>
      </w:r>
      <w:r w:rsidR="00577C27">
        <w:rPr>
          <w:sz w:val="28"/>
          <w:szCs w:val="28"/>
          <w:lang w:eastAsia="uk-UA"/>
        </w:rPr>
        <w:t xml:space="preserve">здобувачами </w:t>
      </w:r>
      <w:r w:rsidRPr="00AC5C5D">
        <w:rPr>
          <w:sz w:val="28"/>
          <w:szCs w:val="28"/>
          <w:lang w:eastAsia="uk-UA"/>
        </w:rPr>
        <w:t>ліцензі</w:t>
      </w:r>
      <w:r w:rsidR="00577C27">
        <w:rPr>
          <w:sz w:val="28"/>
          <w:szCs w:val="28"/>
          <w:lang w:eastAsia="uk-UA"/>
        </w:rPr>
        <w:t>ї</w:t>
      </w:r>
      <w:r w:rsidRPr="00AC5C5D">
        <w:rPr>
          <w:sz w:val="28"/>
          <w:szCs w:val="28"/>
          <w:lang w:eastAsia="uk-UA"/>
        </w:rPr>
        <w:t xml:space="preserve"> плати за видачу ліцензій;</w:t>
      </w:r>
    </w:p>
    <w:p w14:paraId="763CE66D" w14:textId="77777777" w:rsidR="002E66FB" w:rsidRPr="002E66FB" w:rsidRDefault="002E66FB" w:rsidP="002E66FB">
      <w:pPr>
        <w:widowControl w:val="0"/>
        <w:autoSpaceDE w:val="0"/>
        <w:autoSpaceDN w:val="0"/>
        <w:ind w:left="-990" w:firstLine="709"/>
        <w:jc w:val="both"/>
        <w:rPr>
          <w:sz w:val="28"/>
          <w:szCs w:val="28"/>
          <w:lang w:eastAsia="uk-UA"/>
        </w:rPr>
      </w:pPr>
      <w:r w:rsidRPr="002E66FB">
        <w:rPr>
          <w:sz w:val="28"/>
          <w:szCs w:val="28"/>
          <w:lang w:eastAsia="uk-UA"/>
        </w:rPr>
        <w:t xml:space="preserve">заборони вимагання органами ліцензування надання документів в паперовому чи електронному вигляді, які підтверджують внесення </w:t>
      </w:r>
      <w:r w:rsidR="00577C27">
        <w:rPr>
          <w:sz w:val="28"/>
          <w:szCs w:val="28"/>
          <w:lang w:eastAsia="uk-UA"/>
        </w:rPr>
        <w:t xml:space="preserve">здобувачами </w:t>
      </w:r>
      <w:r w:rsidRPr="002E66FB">
        <w:rPr>
          <w:sz w:val="28"/>
          <w:szCs w:val="28"/>
          <w:lang w:eastAsia="uk-UA"/>
        </w:rPr>
        <w:t>ліцензі</w:t>
      </w:r>
      <w:r w:rsidR="00577C27">
        <w:rPr>
          <w:sz w:val="28"/>
          <w:szCs w:val="28"/>
          <w:lang w:eastAsia="uk-UA"/>
        </w:rPr>
        <w:t>й</w:t>
      </w:r>
      <w:r w:rsidRPr="002E66FB">
        <w:rPr>
          <w:sz w:val="28"/>
          <w:szCs w:val="28"/>
          <w:lang w:eastAsia="uk-UA"/>
        </w:rPr>
        <w:t xml:space="preserve"> плати за видачу ліцензій;</w:t>
      </w:r>
    </w:p>
    <w:p w14:paraId="1960E214" w14:textId="77777777" w:rsidR="002E66FB" w:rsidRPr="002E66FB" w:rsidRDefault="002E66FB" w:rsidP="002E66FB">
      <w:pPr>
        <w:widowControl w:val="0"/>
        <w:autoSpaceDE w:val="0"/>
        <w:autoSpaceDN w:val="0"/>
        <w:ind w:left="-990" w:firstLine="709"/>
        <w:jc w:val="both"/>
        <w:rPr>
          <w:sz w:val="28"/>
          <w:szCs w:val="28"/>
          <w:lang w:eastAsia="uk-UA"/>
        </w:rPr>
      </w:pPr>
      <w:r w:rsidRPr="002E66FB">
        <w:rPr>
          <w:sz w:val="28"/>
          <w:szCs w:val="28"/>
          <w:lang w:eastAsia="uk-UA"/>
        </w:rPr>
        <w:t>запровадження нової адміністративно-господарської санкції у сфері ліцензування - зупинення дії ліцензії в повному обсязі або частково;</w:t>
      </w:r>
    </w:p>
    <w:p w14:paraId="34CDE41F" w14:textId="77777777" w:rsidR="002E66FB" w:rsidRPr="002E66FB" w:rsidRDefault="002E66FB" w:rsidP="002E66FB">
      <w:pPr>
        <w:widowControl w:val="0"/>
        <w:autoSpaceDE w:val="0"/>
        <w:autoSpaceDN w:val="0"/>
        <w:ind w:left="-990" w:firstLine="709"/>
        <w:jc w:val="both"/>
        <w:rPr>
          <w:sz w:val="28"/>
          <w:szCs w:val="28"/>
          <w:lang w:eastAsia="uk-UA"/>
        </w:rPr>
      </w:pPr>
      <w:r w:rsidRPr="002E66FB">
        <w:rPr>
          <w:sz w:val="28"/>
          <w:szCs w:val="28"/>
          <w:lang w:eastAsia="uk-UA"/>
        </w:rPr>
        <w:t>запровадження порядку відновлення дії ліцензії, що була зупинена органом ліцензування;</w:t>
      </w:r>
    </w:p>
    <w:p w14:paraId="59B53E58" w14:textId="77777777" w:rsidR="002E66FB" w:rsidRPr="002E66FB" w:rsidRDefault="002E66FB" w:rsidP="002E66FB">
      <w:pPr>
        <w:widowControl w:val="0"/>
        <w:autoSpaceDE w:val="0"/>
        <w:autoSpaceDN w:val="0"/>
        <w:ind w:left="-990" w:firstLine="709"/>
        <w:jc w:val="both"/>
        <w:rPr>
          <w:sz w:val="28"/>
          <w:szCs w:val="28"/>
          <w:lang w:eastAsia="uk-UA"/>
        </w:rPr>
      </w:pPr>
      <w:r w:rsidRPr="002E66FB">
        <w:rPr>
          <w:sz w:val="28"/>
          <w:szCs w:val="28"/>
          <w:lang w:eastAsia="uk-UA"/>
        </w:rPr>
        <w:t>запровадження порядку оскарження ліцензіатом рішення органу ліцензування щодо зупинення дії ліцензії;</w:t>
      </w:r>
    </w:p>
    <w:p w14:paraId="1925A1F1" w14:textId="77777777" w:rsidR="002E66FB" w:rsidRPr="002E66FB" w:rsidRDefault="002E66FB" w:rsidP="002E66FB">
      <w:pPr>
        <w:widowControl w:val="0"/>
        <w:autoSpaceDE w:val="0"/>
        <w:autoSpaceDN w:val="0"/>
        <w:ind w:left="-990" w:firstLine="709"/>
        <w:jc w:val="both"/>
        <w:rPr>
          <w:sz w:val="28"/>
          <w:szCs w:val="28"/>
          <w:lang w:eastAsia="uk-UA"/>
        </w:rPr>
      </w:pPr>
      <w:r w:rsidRPr="002E66FB">
        <w:rPr>
          <w:sz w:val="28"/>
          <w:szCs w:val="28"/>
          <w:lang w:eastAsia="uk-UA"/>
        </w:rPr>
        <w:t>врегулювання питань щодо повторного подання заяви про отримання ліцензії передбачивши, що до заяви про отримання ліцензії додаються лише ті підтвердні документи, які стали підставою для прийняття рішення про залишення заяви без розгляду, за умови, що попередньо подані документи, що знаходяться у ліцензійній справі, на момент подачі повторної заяви зберегли свою актуальність;</w:t>
      </w:r>
    </w:p>
    <w:p w14:paraId="53C26A93" w14:textId="77777777" w:rsidR="002E66FB" w:rsidRPr="002E66FB" w:rsidRDefault="002E66FB" w:rsidP="002E66FB">
      <w:pPr>
        <w:widowControl w:val="0"/>
        <w:autoSpaceDE w:val="0"/>
        <w:autoSpaceDN w:val="0"/>
        <w:ind w:left="-990" w:firstLine="709"/>
        <w:jc w:val="both"/>
        <w:rPr>
          <w:color w:val="5B9BD5"/>
          <w:sz w:val="28"/>
          <w:szCs w:val="28"/>
          <w:lang w:eastAsia="uk-UA"/>
        </w:rPr>
      </w:pPr>
      <w:r w:rsidRPr="002E66FB">
        <w:rPr>
          <w:sz w:val="28"/>
          <w:szCs w:val="28"/>
          <w:lang w:eastAsia="uk-UA"/>
        </w:rPr>
        <w:t>виключення підстави для анулювання ліцензії у випадку несплати ліцензіатом за видачу ліцензії</w:t>
      </w:r>
      <w:r w:rsidR="006F4D22">
        <w:rPr>
          <w:sz w:val="28"/>
          <w:szCs w:val="28"/>
          <w:lang w:eastAsia="uk-UA"/>
        </w:rPr>
        <w:t>.</w:t>
      </w:r>
    </w:p>
    <w:p w14:paraId="647F62F1" w14:textId="77777777" w:rsidR="002E66FB" w:rsidRPr="00404765" w:rsidRDefault="002E66FB" w:rsidP="00036BA5">
      <w:pPr>
        <w:ind w:left="-990" w:firstLine="990"/>
        <w:jc w:val="both"/>
        <w:rPr>
          <w:sz w:val="28"/>
          <w:szCs w:val="28"/>
        </w:rPr>
      </w:pPr>
    </w:p>
    <w:p w14:paraId="060393B7" w14:textId="77777777" w:rsidR="000145DA" w:rsidRDefault="004148D1" w:rsidP="00036BA5">
      <w:pPr>
        <w:pStyle w:val="ac"/>
        <w:ind w:left="-990" w:firstLine="990"/>
        <w:jc w:val="both"/>
        <w:outlineLvl w:val="0"/>
        <w:rPr>
          <w:rFonts w:ascii="Times New Roman" w:hAnsi="Times New Roman"/>
          <w:sz w:val="28"/>
          <w:szCs w:val="28"/>
          <w:lang w:eastAsia="uk-UA"/>
        </w:rPr>
      </w:pPr>
      <w:r w:rsidRPr="00404765">
        <w:rPr>
          <w:rFonts w:ascii="Times New Roman" w:hAnsi="Times New Roman"/>
          <w:sz w:val="28"/>
          <w:szCs w:val="28"/>
          <w:lang w:eastAsia="uk-UA"/>
        </w:rPr>
        <w:t>Крім того</w:t>
      </w:r>
      <w:r w:rsidR="00D42845" w:rsidRPr="00404765">
        <w:rPr>
          <w:rFonts w:ascii="Times New Roman" w:hAnsi="Times New Roman"/>
          <w:sz w:val="28"/>
          <w:szCs w:val="28"/>
          <w:lang w:eastAsia="uk-UA"/>
        </w:rPr>
        <w:t>,</w:t>
      </w:r>
      <w:r w:rsidRPr="00404765">
        <w:rPr>
          <w:rFonts w:ascii="Times New Roman" w:hAnsi="Times New Roman"/>
          <w:sz w:val="28"/>
          <w:szCs w:val="28"/>
          <w:lang w:eastAsia="uk-UA"/>
        </w:rPr>
        <w:t xml:space="preserve"> д</w:t>
      </w:r>
      <w:r w:rsidR="00C54C73" w:rsidRPr="00404765">
        <w:rPr>
          <w:rFonts w:ascii="Times New Roman" w:hAnsi="Times New Roman"/>
          <w:sz w:val="28"/>
          <w:szCs w:val="28"/>
          <w:lang w:eastAsia="uk-UA"/>
        </w:rPr>
        <w:t xml:space="preserve">ля впровадження регуляторного акта необхідно здійснити такі організаційні заходи як забезпечити інформування </w:t>
      </w:r>
      <w:r w:rsidR="00721380" w:rsidRPr="00404765">
        <w:rPr>
          <w:rFonts w:ascii="Times New Roman" w:hAnsi="Times New Roman"/>
          <w:sz w:val="28"/>
          <w:szCs w:val="28"/>
          <w:lang w:eastAsia="uk-UA"/>
        </w:rPr>
        <w:t>суб’</w:t>
      </w:r>
      <w:r w:rsidR="00515CD7">
        <w:rPr>
          <w:rFonts w:ascii="Times New Roman" w:hAnsi="Times New Roman"/>
          <w:sz w:val="28"/>
          <w:szCs w:val="28"/>
          <w:lang w:eastAsia="uk-UA"/>
        </w:rPr>
        <w:t>єктів господарю</w:t>
      </w:r>
      <w:r w:rsidR="00721380" w:rsidRPr="00404765">
        <w:rPr>
          <w:rFonts w:ascii="Times New Roman" w:hAnsi="Times New Roman"/>
          <w:sz w:val="28"/>
          <w:szCs w:val="28"/>
          <w:lang w:eastAsia="uk-UA"/>
        </w:rPr>
        <w:t>вання</w:t>
      </w:r>
      <w:r w:rsidR="00C54C73" w:rsidRPr="00404765">
        <w:rPr>
          <w:rFonts w:ascii="Times New Roman" w:hAnsi="Times New Roman"/>
          <w:sz w:val="28"/>
          <w:szCs w:val="28"/>
          <w:lang w:eastAsia="uk-UA"/>
        </w:rPr>
        <w:t xml:space="preserve"> про вимоги регуляторного акта шляхом оприлюднення його в засобах мас</w:t>
      </w:r>
      <w:r w:rsidR="000145DA" w:rsidRPr="00404765">
        <w:rPr>
          <w:rFonts w:ascii="Times New Roman" w:hAnsi="Times New Roman"/>
          <w:sz w:val="28"/>
          <w:szCs w:val="28"/>
          <w:lang w:eastAsia="uk-UA"/>
        </w:rPr>
        <w:t>ової інформації</w:t>
      </w:r>
      <w:r w:rsidR="00C0214C" w:rsidRPr="00404765">
        <w:rPr>
          <w:rFonts w:ascii="Times New Roman" w:hAnsi="Times New Roman"/>
          <w:sz w:val="28"/>
          <w:szCs w:val="28"/>
          <w:lang w:eastAsia="uk-UA"/>
        </w:rPr>
        <w:t xml:space="preserve">, </w:t>
      </w:r>
      <w:r w:rsidR="000145DA" w:rsidRPr="00404765">
        <w:rPr>
          <w:rFonts w:ascii="Times New Roman" w:hAnsi="Times New Roman"/>
          <w:sz w:val="28"/>
          <w:szCs w:val="28"/>
          <w:lang w:eastAsia="uk-UA"/>
        </w:rPr>
        <w:t>мережі Інтерн</w:t>
      </w:r>
      <w:r w:rsidR="00C54C73" w:rsidRPr="00404765">
        <w:rPr>
          <w:rFonts w:ascii="Times New Roman" w:hAnsi="Times New Roman"/>
          <w:sz w:val="28"/>
          <w:szCs w:val="28"/>
          <w:lang w:eastAsia="uk-UA"/>
        </w:rPr>
        <w:t xml:space="preserve">ет та проведення </w:t>
      </w:r>
      <w:r w:rsidR="00D802FD" w:rsidRPr="00404765">
        <w:rPr>
          <w:rFonts w:ascii="Times New Roman" w:hAnsi="Times New Roman"/>
          <w:sz w:val="28"/>
          <w:szCs w:val="28"/>
          <w:lang w:eastAsia="uk-UA"/>
        </w:rPr>
        <w:t xml:space="preserve">органами </w:t>
      </w:r>
      <w:r w:rsidR="00ED20B8" w:rsidRPr="00404765">
        <w:rPr>
          <w:rFonts w:ascii="Times New Roman" w:hAnsi="Times New Roman"/>
          <w:sz w:val="28"/>
          <w:szCs w:val="28"/>
          <w:lang w:eastAsia="uk-UA"/>
        </w:rPr>
        <w:t xml:space="preserve">ліцензування </w:t>
      </w:r>
      <w:r w:rsidR="000145DA" w:rsidRPr="00404765">
        <w:rPr>
          <w:rFonts w:ascii="Times New Roman" w:hAnsi="Times New Roman"/>
          <w:sz w:val="28"/>
          <w:szCs w:val="28"/>
          <w:lang w:eastAsia="uk-UA"/>
        </w:rPr>
        <w:t>інформаційно-роз’яснювальної роботи</w:t>
      </w:r>
      <w:r w:rsidR="00C54C73" w:rsidRPr="00404765">
        <w:rPr>
          <w:rFonts w:ascii="Times New Roman" w:hAnsi="Times New Roman"/>
          <w:sz w:val="28"/>
          <w:szCs w:val="28"/>
          <w:lang w:eastAsia="uk-UA"/>
        </w:rPr>
        <w:t>.</w:t>
      </w:r>
    </w:p>
    <w:p w14:paraId="524696FD" w14:textId="77777777" w:rsidR="009C4428" w:rsidRPr="009C4428" w:rsidRDefault="009C4428" w:rsidP="009C4428">
      <w:pPr>
        <w:pStyle w:val="ac"/>
        <w:ind w:left="-990" w:firstLine="990"/>
        <w:jc w:val="both"/>
        <w:outlineLvl w:val="0"/>
        <w:rPr>
          <w:rFonts w:ascii="Times New Roman" w:hAnsi="Times New Roman"/>
          <w:sz w:val="28"/>
          <w:szCs w:val="28"/>
          <w:u w:val="single"/>
          <w:lang w:eastAsia="uk-UA"/>
        </w:rPr>
      </w:pPr>
      <w:r w:rsidRPr="009C4428">
        <w:rPr>
          <w:rFonts w:ascii="Times New Roman" w:hAnsi="Times New Roman"/>
          <w:sz w:val="28"/>
          <w:szCs w:val="28"/>
          <w:u w:val="single"/>
          <w:lang w:eastAsia="uk-UA"/>
        </w:rPr>
        <w:t>Заходи, які необхідно здійснити суб’єктам господарювання:</w:t>
      </w:r>
    </w:p>
    <w:p w14:paraId="791B5AFF" w14:textId="77777777" w:rsidR="009C4428" w:rsidRPr="009C4428" w:rsidRDefault="009C4428" w:rsidP="009C4428">
      <w:pPr>
        <w:pStyle w:val="ac"/>
        <w:ind w:left="-990" w:firstLine="990"/>
        <w:jc w:val="both"/>
        <w:outlineLvl w:val="0"/>
        <w:rPr>
          <w:rFonts w:ascii="Times New Roman" w:hAnsi="Times New Roman"/>
          <w:sz w:val="28"/>
          <w:szCs w:val="28"/>
          <w:lang w:eastAsia="uk-UA"/>
        </w:rPr>
      </w:pPr>
      <w:r w:rsidRPr="009C4428">
        <w:rPr>
          <w:rFonts w:ascii="Times New Roman" w:hAnsi="Times New Roman"/>
          <w:sz w:val="28"/>
          <w:szCs w:val="28"/>
          <w:lang w:eastAsia="uk-UA"/>
        </w:rPr>
        <w:t>1)</w:t>
      </w:r>
      <w:r w:rsidRPr="009C4428">
        <w:rPr>
          <w:rFonts w:ascii="Times New Roman" w:hAnsi="Times New Roman"/>
          <w:sz w:val="28"/>
          <w:szCs w:val="28"/>
          <w:lang w:eastAsia="uk-UA"/>
        </w:rPr>
        <w:tab/>
        <w:t>ознайомитися з вимогами регулювання</w:t>
      </w:r>
      <w:r w:rsidR="00577C27">
        <w:rPr>
          <w:rFonts w:ascii="Times New Roman" w:hAnsi="Times New Roman"/>
          <w:sz w:val="28"/>
          <w:szCs w:val="28"/>
          <w:lang w:eastAsia="uk-UA"/>
        </w:rPr>
        <w:t xml:space="preserve"> </w:t>
      </w:r>
      <w:r w:rsidRPr="009C4428">
        <w:rPr>
          <w:rFonts w:ascii="Times New Roman" w:hAnsi="Times New Roman"/>
          <w:sz w:val="28"/>
          <w:szCs w:val="28"/>
          <w:lang w:eastAsia="uk-UA"/>
        </w:rPr>
        <w:t>(пошук та опрацювання регуляторного акту в мережі Інтернет)</w:t>
      </w:r>
      <w:r w:rsidR="006F4D22">
        <w:rPr>
          <w:rFonts w:ascii="Times New Roman" w:hAnsi="Times New Roman"/>
          <w:sz w:val="28"/>
          <w:szCs w:val="28"/>
          <w:lang w:eastAsia="uk-UA"/>
        </w:rPr>
        <w:t>.</w:t>
      </w:r>
    </w:p>
    <w:p w14:paraId="297EE8D7" w14:textId="77777777" w:rsidR="0019254A" w:rsidRDefault="00577C27" w:rsidP="00C07446">
      <w:pPr>
        <w:pStyle w:val="ac"/>
        <w:ind w:left="-990" w:firstLine="990"/>
        <w:jc w:val="both"/>
        <w:outlineLvl w:val="0"/>
        <w:rPr>
          <w:rFonts w:ascii="Times New Roman" w:hAnsi="Times New Roman"/>
          <w:sz w:val="28"/>
          <w:szCs w:val="28"/>
          <w:lang w:eastAsia="uk-UA"/>
        </w:rPr>
      </w:pPr>
      <w:r>
        <w:rPr>
          <w:rFonts w:ascii="Times New Roman" w:hAnsi="Times New Roman"/>
          <w:sz w:val="28"/>
          <w:szCs w:val="28"/>
          <w:lang w:eastAsia="uk-UA"/>
        </w:rPr>
        <w:t>2)</w:t>
      </w:r>
      <w:r w:rsidRPr="00577C27">
        <w:rPr>
          <w:rFonts w:ascii="Times New Roman" w:hAnsi="Times New Roman"/>
          <w:sz w:val="24"/>
          <w:szCs w:val="24"/>
        </w:rPr>
        <w:t xml:space="preserve"> </w:t>
      </w:r>
      <w:r>
        <w:rPr>
          <w:rFonts w:ascii="Times New Roman" w:hAnsi="Times New Roman"/>
          <w:sz w:val="28"/>
          <w:szCs w:val="28"/>
          <w:lang w:eastAsia="uk-UA"/>
        </w:rPr>
        <w:t xml:space="preserve"> </w:t>
      </w:r>
      <w:r w:rsidR="00C07446">
        <w:rPr>
          <w:rFonts w:ascii="Times New Roman" w:hAnsi="Times New Roman"/>
          <w:sz w:val="28"/>
          <w:szCs w:val="28"/>
          <w:lang w:eastAsia="uk-UA"/>
        </w:rPr>
        <w:t>організація виконання вимог регулювання.</w:t>
      </w:r>
    </w:p>
    <w:p w14:paraId="04B751DB" w14:textId="77777777" w:rsidR="00C07446" w:rsidRPr="00CB4504" w:rsidRDefault="00C07446" w:rsidP="00C07446">
      <w:pPr>
        <w:pStyle w:val="ac"/>
        <w:ind w:left="-990" w:firstLine="990"/>
        <w:jc w:val="both"/>
        <w:outlineLvl w:val="0"/>
        <w:rPr>
          <w:rFonts w:ascii="Times New Roman" w:hAnsi="Times New Roman"/>
          <w:sz w:val="28"/>
          <w:szCs w:val="28"/>
        </w:rPr>
      </w:pPr>
    </w:p>
    <w:p w14:paraId="07CBF88F" w14:textId="77777777" w:rsidR="00386D9D" w:rsidRDefault="00386D9D" w:rsidP="00036BA5">
      <w:pPr>
        <w:pStyle w:val="ac"/>
        <w:ind w:left="-990"/>
        <w:jc w:val="center"/>
        <w:outlineLvl w:val="0"/>
        <w:rPr>
          <w:rFonts w:ascii="Times New Roman" w:hAnsi="Times New Roman"/>
          <w:b/>
          <w:sz w:val="28"/>
          <w:szCs w:val="28"/>
        </w:rPr>
      </w:pPr>
      <w:r w:rsidRPr="000E0C6D">
        <w:rPr>
          <w:rFonts w:ascii="Times New Roman" w:hAnsi="Times New Roman"/>
          <w:b/>
          <w:sz w:val="28"/>
          <w:szCs w:val="28"/>
          <w:lang w:val="en-US"/>
        </w:rPr>
        <w:t>VI</w:t>
      </w:r>
      <w:r w:rsidRPr="000E0C6D">
        <w:rPr>
          <w:rFonts w:ascii="Times New Roman" w:hAnsi="Times New Roman"/>
          <w:b/>
          <w:sz w:val="28"/>
          <w:szCs w:val="28"/>
        </w:rPr>
        <w:t xml:space="preserve">. Оцінка виконання вимог регуляторного акта залежно від ресурсів, якими розпоряджаються органи виконавчої влади чи органи місцевого </w:t>
      </w:r>
      <w:r w:rsidRPr="000E0C6D">
        <w:rPr>
          <w:rFonts w:ascii="Times New Roman" w:hAnsi="Times New Roman"/>
          <w:b/>
          <w:sz w:val="28"/>
          <w:szCs w:val="28"/>
        </w:rPr>
        <w:lastRenderedPageBreak/>
        <w:t>самоврядування, фізичні та юридичні особи, які повинні проваджувати або виконувати ці вимоги</w:t>
      </w:r>
    </w:p>
    <w:p w14:paraId="370B29B1" w14:textId="77777777" w:rsidR="00D802FD" w:rsidRPr="000E0C6D" w:rsidRDefault="00D802FD" w:rsidP="00036BA5">
      <w:pPr>
        <w:pStyle w:val="ac"/>
        <w:ind w:left="-990"/>
        <w:jc w:val="both"/>
        <w:outlineLvl w:val="0"/>
        <w:rPr>
          <w:rFonts w:ascii="Times New Roman" w:hAnsi="Times New Roman"/>
          <w:b/>
          <w:sz w:val="28"/>
          <w:szCs w:val="28"/>
        </w:rPr>
      </w:pPr>
    </w:p>
    <w:p w14:paraId="424B376E" w14:textId="77777777" w:rsidR="00285FA8" w:rsidRPr="00CB4504" w:rsidRDefault="00285FA8" w:rsidP="00036BA5">
      <w:pPr>
        <w:pStyle w:val="ac"/>
        <w:ind w:left="-990" w:firstLine="990"/>
        <w:jc w:val="both"/>
        <w:outlineLvl w:val="0"/>
        <w:rPr>
          <w:rFonts w:ascii="Times New Roman" w:hAnsi="Times New Roman"/>
          <w:sz w:val="28"/>
          <w:szCs w:val="28"/>
        </w:rPr>
      </w:pPr>
      <w:r w:rsidRPr="00CB4504">
        <w:rPr>
          <w:rFonts w:ascii="Times New Roman" w:hAnsi="Times New Roman"/>
          <w:sz w:val="28"/>
          <w:szCs w:val="28"/>
        </w:rPr>
        <w:t xml:space="preserve">Впровадження вимог регуляторного акта державними органами </w:t>
      </w:r>
      <w:r w:rsidR="006F2C5E">
        <w:rPr>
          <w:rFonts w:ascii="Times New Roman" w:hAnsi="Times New Roman"/>
          <w:sz w:val="28"/>
          <w:szCs w:val="28"/>
        </w:rPr>
        <w:t xml:space="preserve">не </w:t>
      </w:r>
      <w:r w:rsidRPr="00CB4504">
        <w:rPr>
          <w:rFonts w:ascii="Times New Roman" w:hAnsi="Times New Roman"/>
          <w:sz w:val="28"/>
          <w:szCs w:val="28"/>
        </w:rPr>
        <w:t>потребу</w:t>
      </w:r>
      <w:r w:rsidR="00AC5C5D">
        <w:rPr>
          <w:rFonts w:ascii="Times New Roman" w:hAnsi="Times New Roman"/>
          <w:sz w:val="28"/>
          <w:szCs w:val="28"/>
        </w:rPr>
        <w:t>ватиме</w:t>
      </w:r>
      <w:r w:rsidRPr="00CB4504">
        <w:rPr>
          <w:rFonts w:ascii="Times New Roman" w:hAnsi="Times New Roman"/>
          <w:sz w:val="28"/>
          <w:szCs w:val="28"/>
        </w:rPr>
        <w:t xml:space="preserve"> додаткових витрат </w:t>
      </w:r>
      <w:r w:rsidRPr="006F4D22">
        <w:rPr>
          <w:rFonts w:ascii="Times New Roman" w:hAnsi="Times New Roman"/>
          <w:sz w:val="28"/>
          <w:szCs w:val="28"/>
        </w:rPr>
        <w:t xml:space="preserve">з </w:t>
      </w:r>
      <w:r w:rsidR="00600601" w:rsidRPr="006F4D22">
        <w:rPr>
          <w:rFonts w:ascii="Times New Roman" w:hAnsi="Times New Roman"/>
          <w:sz w:val="28"/>
          <w:szCs w:val="28"/>
        </w:rPr>
        <w:t xml:space="preserve">відповідних </w:t>
      </w:r>
      <w:r w:rsidRPr="006F4D22">
        <w:rPr>
          <w:rFonts w:ascii="Times New Roman" w:hAnsi="Times New Roman"/>
          <w:sz w:val="28"/>
          <w:szCs w:val="28"/>
        </w:rPr>
        <w:t>бюджет</w:t>
      </w:r>
      <w:r w:rsidR="00600601" w:rsidRPr="006F4D22">
        <w:rPr>
          <w:rFonts w:ascii="Times New Roman" w:hAnsi="Times New Roman"/>
          <w:sz w:val="28"/>
          <w:szCs w:val="28"/>
        </w:rPr>
        <w:t>ів</w:t>
      </w:r>
      <w:r w:rsidRPr="006F4D22">
        <w:rPr>
          <w:rFonts w:ascii="Times New Roman" w:hAnsi="Times New Roman"/>
          <w:sz w:val="28"/>
          <w:szCs w:val="28"/>
        </w:rPr>
        <w:t xml:space="preserve">, </w:t>
      </w:r>
      <w:r w:rsidRPr="00CB4504">
        <w:rPr>
          <w:rFonts w:ascii="Times New Roman" w:hAnsi="Times New Roman"/>
          <w:sz w:val="28"/>
          <w:szCs w:val="28"/>
        </w:rPr>
        <w:t xml:space="preserve">оскільки здійснюватиметься в межах </w:t>
      </w:r>
      <w:r w:rsidR="00577C27" w:rsidRPr="00577C27">
        <w:rPr>
          <w:rFonts w:ascii="Times New Roman" w:hAnsi="Times New Roman"/>
          <w:sz w:val="28"/>
          <w:szCs w:val="28"/>
        </w:rPr>
        <w:t>в межах коштів, передбачених на фінансування органів ліцензування на відповідний бюджетний період</w:t>
      </w:r>
      <w:r w:rsidRPr="00CB4504">
        <w:rPr>
          <w:rFonts w:ascii="Times New Roman" w:hAnsi="Times New Roman"/>
          <w:sz w:val="28"/>
          <w:szCs w:val="28"/>
        </w:rPr>
        <w:t>.</w:t>
      </w:r>
    </w:p>
    <w:p w14:paraId="5A9A3F6A" w14:textId="77777777" w:rsidR="009C0709" w:rsidRDefault="009C0709" w:rsidP="00036BA5">
      <w:pPr>
        <w:autoSpaceDE w:val="0"/>
        <w:autoSpaceDN w:val="0"/>
        <w:adjustRightInd w:val="0"/>
        <w:ind w:left="-990" w:firstLine="990"/>
        <w:jc w:val="both"/>
        <w:rPr>
          <w:sz w:val="28"/>
          <w:szCs w:val="28"/>
          <w:shd w:val="clear" w:color="auto" w:fill="FFFFFF"/>
        </w:rPr>
      </w:pPr>
      <w:r w:rsidRPr="00CB4504">
        <w:rPr>
          <w:sz w:val="28"/>
          <w:szCs w:val="28"/>
          <w:shd w:val="clear" w:color="auto" w:fill="FFFFFF"/>
        </w:rPr>
        <w:t>Державне регулювання не передбачає утворення нового державного органу (або нового структурного підрозділу діючого органу).</w:t>
      </w:r>
    </w:p>
    <w:p w14:paraId="6A7FB825" w14:textId="77777777" w:rsidR="00124EF8" w:rsidRPr="006F4D22" w:rsidRDefault="006F4D22" w:rsidP="006F4D22">
      <w:pPr>
        <w:autoSpaceDE w:val="0"/>
        <w:autoSpaceDN w:val="0"/>
        <w:adjustRightInd w:val="0"/>
        <w:ind w:left="-990" w:firstLine="990"/>
        <w:jc w:val="both"/>
        <w:rPr>
          <w:color w:val="FF0000"/>
          <w:sz w:val="28"/>
          <w:szCs w:val="28"/>
          <w:shd w:val="clear" w:color="auto" w:fill="FFFFFF"/>
        </w:rPr>
      </w:pPr>
      <w:r>
        <w:rPr>
          <w:sz w:val="28"/>
          <w:szCs w:val="28"/>
          <w:shd w:val="clear" w:color="auto" w:fill="FFFFFF"/>
        </w:rPr>
        <w:t>Р</w:t>
      </w:r>
      <w:r w:rsidR="00124EF8" w:rsidRPr="00A03E6F">
        <w:rPr>
          <w:sz w:val="28"/>
          <w:szCs w:val="28"/>
          <w:shd w:val="clear" w:color="auto" w:fill="FFFFFF"/>
        </w:rPr>
        <w:t>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акта</w:t>
      </w:r>
      <w:r>
        <w:rPr>
          <w:sz w:val="28"/>
          <w:szCs w:val="28"/>
          <w:shd w:val="clear" w:color="auto" w:fill="FFFFFF"/>
        </w:rPr>
        <w:t>, не проводився</w:t>
      </w:r>
      <w:r w:rsidR="00577C27" w:rsidRPr="00577C27">
        <w:rPr>
          <w:color w:val="000000" w:themeColor="text1"/>
          <w:sz w:val="28"/>
          <w:szCs w:val="28"/>
          <w:shd w:val="clear" w:color="auto" w:fill="FFFFFF"/>
        </w:rPr>
        <w:t>.</w:t>
      </w:r>
    </w:p>
    <w:p w14:paraId="40C86033" w14:textId="77777777" w:rsidR="009C4428" w:rsidRDefault="00124EF8" w:rsidP="00036BA5">
      <w:pPr>
        <w:autoSpaceDE w:val="0"/>
        <w:autoSpaceDN w:val="0"/>
        <w:adjustRightInd w:val="0"/>
        <w:ind w:left="-990" w:firstLine="990"/>
        <w:jc w:val="both"/>
        <w:rPr>
          <w:color w:val="000000" w:themeColor="text1"/>
          <w:sz w:val="28"/>
          <w:szCs w:val="28"/>
          <w:shd w:val="clear" w:color="auto" w:fill="FFFFFF"/>
        </w:rPr>
      </w:pPr>
      <w:r w:rsidRPr="009C4428">
        <w:rPr>
          <w:sz w:val="28"/>
          <w:szCs w:val="28"/>
          <w:shd w:val="clear" w:color="auto" w:fill="FFFFFF"/>
        </w:rPr>
        <w:t xml:space="preserve"> </w:t>
      </w:r>
      <w:r w:rsidR="009C4428" w:rsidRPr="009C4428">
        <w:rPr>
          <w:sz w:val="28"/>
          <w:szCs w:val="28"/>
          <w:shd w:val="clear" w:color="auto" w:fill="FFFFFF"/>
        </w:rPr>
        <w:t>Здійснено р</w:t>
      </w:r>
      <w:r w:rsidR="004F270E" w:rsidRPr="00816725">
        <w:rPr>
          <w:color w:val="000000" w:themeColor="text1"/>
          <w:sz w:val="28"/>
          <w:szCs w:val="28"/>
          <w:shd w:val="clear" w:color="auto" w:fill="FFFFFF"/>
        </w:rPr>
        <w:t>озрахунок витрат</w:t>
      </w:r>
      <w:r w:rsidR="004F270E" w:rsidRPr="00816725">
        <w:rPr>
          <w:color w:val="000000" w:themeColor="text1"/>
          <w:shd w:val="clear" w:color="auto" w:fill="FFFFFF"/>
        </w:rPr>
        <w:t xml:space="preserve"> </w:t>
      </w:r>
      <w:r w:rsidR="004F270E" w:rsidRPr="00C07446">
        <w:rPr>
          <w:b/>
          <w:color w:val="000000" w:themeColor="text1"/>
          <w:sz w:val="28"/>
          <w:szCs w:val="28"/>
          <w:shd w:val="clear" w:color="auto" w:fill="FFFFFF"/>
        </w:rPr>
        <w:t>суб’єктів малого підприємництва</w:t>
      </w:r>
      <w:r w:rsidR="004F270E" w:rsidRPr="00816725">
        <w:rPr>
          <w:color w:val="000000" w:themeColor="text1"/>
          <w:sz w:val="28"/>
          <w:szCs w:val="28"/>
          <w:shd w:val="clear" w:color="auto" w:fill="FFFFFF"/>
        </w:rPr>
        <w:t xml:space="preserve"> на виконання вимог регулювання (</w:t>
      </w:r>
      <w:r w:rsidRPr="00816725">
        <w:rPr>
          <w:color w:val="000000" w:themeColor="text1"/>
          <w:sz w:val="28"/>
          <w:szCs w:val="28"/>
          <w:shd w:val="clear" w:color="auto" w:fill="FFFFFF"/>
        </w:rPr>
        <w:t>Додаток 4 (Тест малого підприємництва) до Методики проведення аналізу впливу регуляторного акта</w:t>
      </w:r>
      <w:r w:rsidR="004F270E" w:rsidRPr="00816725">
        <w:rPr>
          <w:color w:val="000000" w:themeColor="text1"/>
          <w:sz w:val="28"/>
          <w:szCs w:val="28"/>
          <w:shd w:val="clear" w:color="auto" w:fill="FFFFFF"/>
        </w:rPr>
        <w:t>)</w:t>
      </w:r>
      <w:r w:rsidR="007E1398">
        <w:rPr>
          <w:color w:val="000000" w:themeColor="text1"/>
          <w:sz w:val="28"/>
          <w:szCs w:val="28"/>
          <w:shd w:val="clear" w:color="auto" w:fill="FFFFFF"/>
        </w:rPr>
        <w:t>, додається</w:t>
      </w:r>
      <w:r w:rsidR="009C4428">
        <w:rPr>
          <w:color w:val="000000" w:themeColor="text1"/>
          <w:sz w:val="28"/>
          <w:szCs w:val="28"/>
          <w:shd w:val="clear" w:color="auto" w:fill="FFFFFF"/>
        </w:rPr>
        <w:t>.</w:t>
      </w:r>
    </w:p>
    <w:p w14:paraId="621F488F" w14:textId="77777777" w:rsidR="004F270E" w:rsidRPr="00577C27" w:rsidRDefault="009C4428" w:rsidP="00036BA5">
      <w:pPr>
        <w:autoSpaceDE w:val="0"/>
        <w:autoSpaceDN w:val="0"/>
        <w:adjustRightInd w:val="0"/>
        <w:ind w:left="-990" w:firstLine="990"/>
        <w:jc w:val="both"/>
        <w:rPr>
          <w:bCs/>
          <w:color w:val="000000" w:themeColor="text1"/>
          <w:sz w:val="28"/>
          <w:szCs w:val="28"/>
          <w:shd w:val="clear" w:color="auto" w:fill="FFFFFF"/>
        </w:rPr>
      </w:pPr>
      <w:r>
        <w:rPr>
          <w:color w:val="000000" w:themeColor="text1"/>
          <w:sz w:val="28"/>
          <w:szCs w:val="28"/>
          <w:shd w:val="clear" w:color="auto" w:fill="FFFFFF"/>
        </w:rPr>
        <w:t xml:space="preserve">Здійснено розрахунок </w:t>
      </w:r>
      <w:r w:rsidR="00A26590" w:rsidRPr="00816725">
        <w:rPr>
          <w:color w:val="000000" w:themeColor="text1"/>
          <w:sz w:val="28"/>
          <w:szCs w:val="28"/>
          <w:shd w:val="clear" w:color="auto" w:fill="FFFFFF"/>
        </w:rPr>
        <w:t xml:space="preserve">витрат </w:t>
      </w:r>
      <w:r w:rsidR="00A26590" w:rsidRPr="00816725">
        <w:rPr>
          <w:b/>
          <w:bCs/>
          <w:color w:val="000000" w:themeColor="text1"/>
          <w:sz w:val="28"/>
          <w:szCs w:val="28"/>
          <w:shd w:val="clear" w:color="auto" w:fill="FFFFFF"/>
        </w:rPr>
        <w:t xml:space="preserve">на одного суб’єкта господарювання великого і середнього підприємництва </w:t>
      </w:r>
      <w:r w:rsidR="00A26590" w:rsidRPr="00577C27">
        <w:rPr>
          <w:bCs/>
          <w:color w:val="000000" w:themeColor="text1"/>
          <w:sz w:val="28"/>
          <w:szCs w:val="28"/>
          <w:shd w:val="clear" w:color="auto" w:fill="FFFFFF"/>
        </w:rPr>
        <w:t>(Додаток 2 до Методики проведення аналізу впливу регуляторного акта)</w:t>
      </w:r>
      <w:r w:rsidR="00577C27" w:rsidRPr="00577C27">
        <w:rPr>
          <w:bCs/>
          <w:color w:val="000000" w:themeColor="text1"/>
          <w:sz w:val="28"/>
          <w:szCs w:val="28"/>
          <w:shd w:val="clear" w:color="auto" w:fill="FFFFFF"/>
        </w:rPr>
        <w:t>, додається</w:t>
      </w:r>
      <w:r w:rsidRPr="00577C27">
        <w:rPr>
          <w:bCs/>
          <w:color w:val="000000" w:themeColor="text1"/>
          <w:sz w:val="28"/>
          <w:szCs w:val="28"/>
          <w:shd w:val="clear" w:color="auto" w:fill="FFFFFF"/>
        </w:rPr>
        <w:t>.</w:t>
      </w:r>
      <w:r w:rsidR="00A26590" w:rsidRPr="00577C27">
        <w:rPr>
          <w:bCs/>
          <w:color w:val="000000" w:themeColor="text1"/>
          <w:sz w:val="28"/>
          <w:szCs w:val="28"/>
          <w:shd w:val="clear" w:color="auto" w:fill="FFFFFF"/>
        </w:rPr>
        <w:t xml:space="preserve"> </w:t>
      </w:r>
    </w:p>
    <w:p w14:paraId="652F9374" w14:textId="77777777" w:rsidR="006F2C5E" w:rsidRPr="006F2C5E" w:rsidRDefault="006F2C5E" w:rsidP="006F2C5E">
      <w:pPr>
        <w:autoSpaceDE w:val="0"/>
        <w:autoSpaceDN w:val="0"/>
        <w:adjustRightInd w:val="0"/>
        <w:ind w:left="-990" w:firstLine="990"/>
        <w:jc w:val="both"/>
        <w:rPr>
          <w:sz w:val="28"/>
          <w:szCs w:val="28"/>
          <w:shd w:val="clear" w:color="auto" w:fill="FFFFFF"/>
        </w:rPr>
      </w:pPr>
      <w:r w:rsidRPr="006F2C5E">
        <w:rPr>
          <w:sz w:val="28"/>
          <w:szCs w:val="28"/>
          <w:shd w:val="clear" w:color="auto" w:fill="FFFFFF"/>
        </w:rPr>
        <w:t>Досягнення цілей не передбачає додаткових організаційних заходів.</w:t>
      </w:r>
    </w:p>
    <w:p w14:paraId="6D38AC7E" w14:textId="77777777" w:rsidR="006F2C5E" w:rsidRPr="006F2C5E" w:rsidRDefault="006F2C5E" w:rsidP="006F2C5E">
      <w:pPr>
        <w:autoSpaceDE w:val="0"/>
        <w:autoSpaceDN w:val="0"/>
        <w:adjustRightInd w:val="0"/>
        <w:ind w:left="-990" w:firstLine="990"/>
        <w:jc w:val="both"/>
        <w:rPr>
          <w:sz w:val="28"/>
          <w:szCs w:val="28"/>
          <w:shd w:val="clear" w:color="auto" w:fill="FFFFFF"/>
        </w:rPr>
      </w:pPr>
      <w:r w:rsidRPr="006F2C5E">
        <w:rPr>
          <w:sz w:val="28"/>
          <w:szCs w:val="28"/>
          <w:shd w:val="clear" w:color="auto" w:fill="FFFFFF"/>
        </w:rPr>
        <w:t xml:space="preserve">Прийняття </w:t>
      </w:r>
      <w:r>
        <w:rPr>
          <w:sz w:val="28"/>
          <w:szCs w:val="28"/>
          <w:shd w:val="clear" w:color="auto" w:fill="FFFFFF"/>
        </w:rPr>
        <w:t>акту</w:t>
      </w:r>
      <w:r w:rsidRPr="006F2C5E">
        <w:rPr>
          <w:sz w:val="28"/>
          <w:szCs w:val="28"/>
          <w:shd w:val="clear" w:color="auto" w:fill="FFFFFF"/>
        </w:rPr>
        <w:t xml:space="preserve"> не призведе до неочікуваних результатів і не потребуватиме  додаткових витрат з державного бюджету.</w:t>
      </w:r>
    </w:p>
    <w:p w14:paraId="323E586F" w14:textId="77777777" w:rsidR="006F2C5E" w:rsidRPr="006F2C5E" w:rsidRDefault="006F2C5E" w:rsidP="006F2C5E">
      <w:pPr>
        <w:autoSpaceDE w:val="0"/>
        <w:autoSpaceDN w:val="0"/>
        <w:adjustRightInd w:val="0"/>
        <w:ind w:left="-990" w:firstLine="990"/>
        <w:jc w:val="both"/>
        <w:rPr>
          <w:sz w:val="28"/>
          <w:szCs w:val="28"/>
          <w:shd w:val="clear" w:color="auto" w:fill="FFFFFF"/>
        </w:rPr>
      </w:pPr>
      <w:r w:rsidRPr="006F2C5E">
        <w:rPr>
          <w:sz w:val="28"/>
          <w:szCs w:val="28"/>
          <w:shd w:val="clear" w:color="auto" w:fill="FFFFFF"/>
        </w:rPr>
        <w:t>Можлива шкода у разі очікуваних наслідків дії акта не прогнозується.</w:t>
      </w:r>
    </w:p>
    <w:p w14:paraId="1CD35B24" w14:textId="77777777" w:rsidR="008775FF" w:rsidRPr="008775FF" w:rsidRDefault="008775FF" w:rsidP="00036BA5">
      <w:pPr>
        <w:autoSpaceDE w:val="0"/>
        <w:autoSpaceDN w:val="0"/>
        <w:adjustRightInd w:val="0"/>
        <w:ind w:left="-990" w:firstLine="990"/>
        <w:jc w:val="both"/>
        <w:rPr>
          <w:sz w:val="28"/>
          <w:szCs w:val="28"/>
          <w:shd w:val="clear" w:color="auto" w:fill="FFFFFF"/>
        </w:rPr>
      </w:pPr>
    </w:p>
    <w:p w14:paraId="735C2C1F" w14:textId="77777777" w:rsidR="00386D9D" w:rsidRPr="000E0C6D" w:rsidRDefault="00386D9D" w:rsidP="00036BA5">
      <w:pPr>
        <w:ind w:left="-990"/>
        <w:jc w:val="center"/>
        <w:rPr>
          <w:b/>
          <w:sz w:val="28"/>
          <w:szCs w:val="28"/>
        </w:rPr>
      </w:pPr>
      <w:r w:rsidRPr="000E0C6D">
        <w:rPr>
          <w:b/>
          <w:sz w:val="28"/>
          <w:szCs w:val="28"/>
          <w:lang w:val="en-US"/>
        </w:rPr>
        <w:t>VII</w:t>
      </w:r>
      <w:r w:rsidRPr="000E0C6D">
        <w:rPr>
          <w:b/>
          <w:sz w:val="28"/>
          <w:szCs w:val="28"/>
        </w:rPr>
        <w:t>. Обґрунтування запропонованого строку дії регуляторного акта</w:t>
      </w:r>
    </w:p>
    <w:p w14:paraId="32159C5F" w14:textId="77777777" w:rsidR="00683263" w:rsidRPr="003D606E" w:rsidRDefault="00683263" w:rsidP="004F270E">
      <w:pPr>
        <w:ind w:left="-990" w:firstLine="990"/>
        <w:jc w:val="both"/>
        <w:rPr>
          <w:sz w:val="28"/>
          <w:szCs w:val="28"/>
        </w:rPr>
      </w:pPr>
      <w:r w:rsidRPr="003D606E">
        <w:rPr>
          <w:sz w:val="28"/>
          <w:szCs w:val="28"/>
        </w:rPr>
        <w:t xml:space="preserve">Строк дії цього регуляторного акту запропоновано встановити на необмежений термін, оскільки дія норм </w:t>
      </w:r>
      <w:r w:rsidR="003D606E" w:rsidRPr="003D606E">
        <w:rPr>
          <w:sz w:val="28"/>
          <w:szCs w:val="28"/>
        </w:rPr>
        <w:t>Закону</w:t>
      </w:r>
      <w:r w:rsidRPr="003D606E">
        <w:rPr>
          <w:sz w:val="28"/>
          <w:szCs w:val="28"/>
        </w:rPr>
        <w:t xml:space="preserve"> України</w:t>
      </w:r>
      <w:r w:rsidR="006F4D22">
        <w:rPr>
          <w:sz w:val="28"/>
          <w:szCs w:val="28"/>
        </w:rPr>
        <w:t xml:space="preserve"> </w:t>
      </w:r>
      <w:r w:rsidR="006F4D22" w:rsidRPr="006F4D22">
        <w:rPr>
          <w:sz w:val="28"/>
          <w:szCs w:val="28"/>
        </w:rPr>
        <w:t>«Про внесення змін до Закону України «Про ліцензування видів господарської діяльності» та деяких інших законодавчих актів України щодо удосконалення порядку ліцензування»</w:t>
      </w:r>
      <w:r w:rsidRPr="003D606E">
        <w:rPr>
          <w:sz w:val="28"/>
          <w:szCs w:val="28"/>
        </w:rPr>
        <w:t xml:space="preserve">, за часом не обмежена. </w:t>
      </w:r>
    </w:p>
    <w:p w14:paraId="021CACC7" w14:textId="77777777" w:rsidR="00EE4105" w:rsidRPr="003D606E" w:rsidRDefault="001D1EE1" w:rsidP="001D1EE1">
      <w:pPr>
        <w:ind w:left="-990" w:firstLine="990"/>
        <w:jc w:val="both"/>
        <w:rPr>
          <w:sz w:val="28"/>
          <w:szCs w:val="28"/>
          <w:lang w:val="ru-RU"/>
        </w:rPr>
      </w:pPr>
      <w:r w:rsidRPr="003D606E">
        <w:rPr>
          <w:sz w:val="28"/>
          <w:szCs w:val="28"/>
          <w:lang w:val="ru-RU"/>
        </w:rPr>
        <w:t xml:space="preserve">Термін набрання чинності регуляторним актом – </w:t>
      </w:r>
      <w:r w:rsidR="006F4D22">
        <w:rPr>
          <w:sz w:val="28"/>
          <w:szCs w:val="28"/>
          <w:lang w:val="ru-RU"/>
        </w:rPr>
        <w:t>через два місяці з дня</w:t>
      </w:r>
      <w:r w:rsidRPr="003D606E">
        <w:rPr>
          <w:sz w:val="28"/>
          <w:szCs w:val="28"/>
          <w:lang w:val="ru-RU"/>
        </w:rPr>
        <w:t xml:space="preserve"> його </w:t>
      </w:r>
      <w:r w:rsidR="006F4D22">
        <w:rPr>
          <w:sz w:val="28"/>
          <w:szCs w:val="28"/>
          <w:lang w:val="ru-RU"/>
        </w:rPr>
        <w:t>опублікування</w:t>
      </w:r>
      <w:r w:rsidRPr="003D606E">
        <w:rPr>
          <w:sz w:val="28"/>
          <w:szCs w:val="28"/>
          <w:lang w:val="ru-RU"/>
        </w:rPr>
        <w:t>.</w:t>
      </w:r>
    </w:p>
    <w:p w14:paraId="211CED9D" w14:textId="77777777" w:rsidR="001D1EE1" w:rsidRPr="001D5B88" w:rsidRDefault="001D1EE1" w:rsidP="00036BA5">
      <w:pPr>
        <w:ind w:left="-990"/>
        <w:jc w:val="center"/>
        <w:rPr>
          <w:b/>
          <w:sz w:val="28"/>
          <w:szCs w:val="28"/>
          <w:lang w:val="ru-RU"/>
        </w:rPr>
      </w:pPr>
    </w:p>
    <w:p w14:paraId="6DD47707" w14:textId="77777777" w:rsidR="00386D9D" w:rsidRPr="0023541D" w:rsidRDefault="00386D9D" w:rsidP="00036BA5">
      <w:pPr>
        <w:ind w:left="-990"/>
        <w:jc w:val="center"/>
        <w:rPr>
          <w:b/>
          <w:sz w:val="28"/>
          <w:szCs w:val="28"/>
        </w:rPr>
      </w:pPr>
      <w:r w:rsidRPr="0023541D">
        <w:rPr>
          <w:b/>
          <w:sz w:val="28"/>
          <w:szCs w:val="28"/>
          <w:lang w:val="en-US"/>
        </w:rPr>
        <w:t>VIII</w:t>
      </w:r>
      <w:r w:rsidRPr="0023541D">
        <w:rPr>
          <w:b/>
          <w:sz w:val="28"/>
          <w:szCs w:val="28"/>
        </w:rPr>
        <w:t>. Визначення показників результативності дії регуляторного акта</w:t>
      </w:r>
    </w:p>
    <w:p w14:paraId="0AE733F8" w14:textId="77777777" w:rsidR="00C229A6" w:rsidRPr="0023541D" w:rsidRDefault="00C229A6" w:rsidP="00036BA5">
      <w:pPr>
        <w:ind w:left="-990"/>
        <w:jc w:val="both"/>
        <w:rPr>
          <w:b/>
          <w:sz w:val="28"/>
          <w:szCs w:val="28"/>
        </w:rPr>
      </w:pPr>
    </w:p>
    <w:p w14:paraId="62C15E46" w14:textId="77777777" w:rsidR="00CF107D" w:rsidRDefault="004148D1" w:rsidP="00036BA5">
      <w:pPr>
        <w:autoSpaceDE w:val="0"/>
        <w:autoSpaceDN w:val="0"/>
        <w:adjustRightInd w:val="0"/>
        <w:ind w:left="-990" w:firstLine="990"/>
        <w:jc w:val="both"/>
        <w:rPr>
          <w:sz w:val="28"/>
          <w:szCs w:val="28"/>
        </w:rPr>
      </w:pPr>
      <w:r w:rsidRPr="00CB4504">
        <w:rPr>
          <w:sz w:val="28"/>
          <w:szCs w:val="28"/>
        </w:rPr>
        <w:t>Прогнозними значеннями показників результативності регуляторного акта є:</w:t>
      </w:r>
    </w:p>
    <w:p w14:paraId="2F4A9193" w14:textId="77777777" w:rsidR="006F2C5E" w:rsidRPr="00CB4504" w:rsidRDefault="006F2C5E" w:rsidP="006F2C5E">
      <w:pPr>
        <w:autoSpaceDE w:val="0"/>
        <w:autoSpaceDN w:val="0"/>
        <w:adjustRightInd w:val="0"/>
        <w:ind w:left="-990" w:firstLine="990"/>
        <w:jc w:val="both"/>
        <w:rPr>
          <w:sz w:val="28"/>
          <w:szCs w:val="28"/>
        </w:rPr>
      </w:pPr>
      <w:smartTag w:uri="urn:schemas-microsoft-com:office:smarttags" w:element="PersonName">
        <w:r w:rsidRPr="006F2C5E">
          <w:rPr>
            <w:sz w:val="28"/>
            <w:szCs w:val="28"/>
          </w:rPr>
          <w:t>1</w:t>
        </w:r>
      </w:smartTag>
      <w:r w:rsidRPr="006F2C5E">
        <w:rPr>
          <w:sz w:val="28"/>
          <w:szCs w:val="28"/>
        </w:rPr>
        <w:t>. </w:t>
      </w:r>
      <w:r>
        <w:rPr>
          <w:sz w:val="28"/>
          <w:szCs w:val="28"/>
        </w:rPr>
        <w:t>Р</w:t>
      </w:r>
      <w:r w:rsidRPr="00CB4504">
        <w:rPr>
          <w:sz w:val="28"/>
          <w:szCs w:val="28"/>
        </w:rPr>
        <w:t xml:space="preserve">озмір надходжень до державного бюджету, пов’язаних з дією акта - прогнозується та напряму залежатиме від кількості </w:t>
      </w:r>
      <w:r>
        <w:rPr>
          <w:sz w:val="28"/>
          <w:szCs w:val="28"/>
        </w:rPr>
        <w:t>виданих органами ліцензування ліцензій</w:t>
      </w:r>
      <w:r w:rsidR="00746C6C">
        <w:rPr>
          <w:sz w:val="28"/>
          <w:szCs w:val="28"/>
        </w:rPr>
        <w:t>.</w:t>
      </w:r>
    </w:p>
    <w:p w14:paraId="5ABF8EB1" w14:textId="77777777" w:rsidR="006F2C5E" w:rsidRPr="006F2C5E" w:rsidRDefault="006F2C5E" w:rsidP="006F2C5E">
      <w:pPr>
        <w:autoSpaceDE w:val="0"/>
        <w:autoSpaceDN w:val="0"/>
        <w:adjustRightInd w:val="0"/>
        <w:ind w:left="-990" w:firstLine="990"/>
        <w:jc w:val="both"/>
        <w:rPr>
          <w:sz w:val="28"/>
          <w:szCs w:val="28"/>
        </w:rPr>
      </w:pPr>
      <w:r w:rsidRPr="006F2C5E">
        <w:rPr>
          <w:sz w:val="28"/>
          <w:szCs w:val="28"/>
        </w:rPr>
        <w:t>2. Кількість суб’єктів господарювання, на яких поширюватиметься дія акта, не обмежується.</w:t>
      </w:r>
    </w:p>
    <w:p w14:paraId="01D1F16C" w14:textId="77777777" w:rsidR="00CF107D" w:rsidRPr="00CB4504" w:rsidRDefault="006F2C5E" w:rsidP="00036BA5">
      <w:pPr>
        <w:autoSpaceDE w:val="0"/>
        <w:autoSpaceDN w:val="0"/>
        <w:adjustRightInd w:val="0"/>
        <w:ind w:left="-990" w:firstLine="990"/>
        <w:jc w:val="both"/>
        <w:rPr>
          <w:sz w:val="28"/>
          <w:szCs w:val="28"/>
        </w:rPr>
      </w:pPr>
      <w:r>
        <w:rPr>
          <w:sz w:val="28"/>
          <w:szCs w:val="28"/>
        </w:rPr>
        <w:t>3.Р</w:t>
      </w:r>
      <w:r w:rsidR="00386D9D" w:rsidRPr="00CB4504">
        <w:rPr>
          <w:sz w:val="28"/>
          <w:szCs w:val="28"/>
        </w:rPr>
        <w:t xml:space="preserve">озмір коштів </w:t>
      </w:r>
      <w:r w:rsidR="004148D1" w:rsidRPr="00CB4504">
        <w:rPr>
          <w:sz w:val="28"/>
          <w:szCs w:val="28"/>
        </w:rPr>
        <w:t>і</w:t>
      </w:r>
      <w:r w:rsidR="00386D9D" w:rsidRPr="00CB4504">
        <w:rPr>
          <w:sz w:val="28"/>
          <w:szCs w:val="28"/>
        </w:rPr>
        <w:t xml:space="preserve"> час</w:t>
      </w:r>
      <w:r w:rsidR="00301313" w:rsidRPr="00CB4504">
        <w:rPr>
          <w:sz w:val="28"/>
          <w:szCs w:val="28"/>
        </w:rPr>
        <w:t>у</w:t>
      </w:r>
      <w:r w:rsidR="00386D9D" w:rsidRPr="00CB4504">
        <w:rPr>
          <w:sz w:val="28"/>
          <w:szCs w:val="28"/>
        </w:rPr>
        <w:t xml:space="preserve">, що витрачатимуться </w:t>
      </w:r>
      <w:r w:rsidR="003D606E">
        <w:rPr>
          <w:sz w:val="28"/>
          <w:szCs w:val="28"/>
        </w:rPr>
        <w:t>суб’єктами</w:t>
      </w:r>
      <w:r w:rsidR="00802EED">
        <w:rPr>
          <w:sz w:val="28"/>
          <w:szCs w:val="28"/>
        </w:rPr>
        <w:t xml:space="preserve"> господарювання</w:t>
      </w:r>
      <w:r w:rsidR="00301313" w:rsidRPr="00CB4504">
        <w:rPr>
          <w:sz w:val="28"/>
          <w:szCs w:val="28"/>
        </w:rPr>
        <w:t xml:space="preserve">(юридичними </w:t>
      </w:r>
      <w:r w:rsidR="00802EED">
        <w:rPr>
          <w:sz w:val="28"/>
          <w:szCs w:val="28"/>
        </w:rPr>
        <w:t xml:space="preserve">та фізичними </w:t>
      </w:r>
      <w:r w:rsidR="00301313" w:rsidRPr="00CB4504">
        <w:rPr>
          <w:sz w:val="28"/>
          <w:szCs w:val="28"/>
        </w:rPr>
        <w:t>особами</w:t>
      </w:r>
      <w:r w:rsidR="00802EED">
        <w:rPr>
          <w:sz w:val="28"/>
          <w:szCs w:val="28"/>
        </w:rPr>
        <w:t xml:space="preserve"> підприємцями</w:t>
      </w:r>
      <w:r w:rsidR="00301313" w:rsidRPr="00CB4504">
        <w:rPr>
          <w:sz w:val="28"/>
          <w:szCs w:val="28"/>
        </w:rPr>
        <w:t>)</w:t>
      </w:r>
      <w:r w:rsidR="00386D9D" w:rsidRPr="00CB4504">
        <w:rPr>
          <w:sz w:val="28"/>
          <w:szCs w:val="28"/>
        </w:rPr>
        <w:t xml:space="preserve">, пов’язаними з </w:t>
      </w:r>
      <w:r w:rsidR="00301313" w:rsidRPr="00CB4504">
        <w:rPr>
          <w:sz w:val="28"/>
          <w:szCs w:val="28"/>
        </w:rPr>
        <w:t>дією акту</w:t>
      </w:r>
      <w:r w:rsidR="00386D9D" w:rsidRPr="00CB4504">
        <w:rPr>
          <w:sz w:val="28"/>
          <w:szCs w:val="28"/>
        </w:rPr>
        <w:t xml:space="preserve"> – середній</w:t>
      </w:r>
      <w:r w:rsidR="00786F49" w:rsidRPr="00CB4504">
        <w:rPr>
          <w:sz w:val="28"/>
          <w:szCs w:val="28"/>
        </w:rPr>
        <w:t>:</w:t>
      </w:r>
    </w:p>
    <w:p w14:paraId="6E277CE5" w14:textId="77777777" w:rsidR="00AA26A5" w:rsidRPr="00CD0DB5" w:rsidRDefault="00786F49" w:rsidP="00036BA5">
      <w:pPr>
        <w:numPr>
          <w:ilvl w:val="0"/>
          <w:numId w:val="16"/>
        </w:numPr>
        <w:autoSpaceDE w:val="0"/>
        <w:autoSpaceDN w:val="0"/>
        <w:adjustRightInd w:val="0"/>
        <w:ind w:left="-990" w:firstLine="0"/>
        <w:jc w:val="both"/>
        <w:rPr>
          <w:b/>
          <w:sz w:val="28"/>
          <w:szCs w:val="28"/>
          <w:shd w:val="clear" w:color="auto" w:fill="FFFFFF"/>
        </w:rPr>
      </w:pPr>
      <w:r w:rsidRPr="00CD0DB5">
        <w:rPr>
          <w:b/>
          <w:sz w:val="28"/>
          <w:szCs w:val="28"/>
          <w:shd w:val="clear" w:color="auto" w:fill="FFFFFF"/>
        </w:rPr>
        <w:t>кош</w:t>
      </w:r>
      <w:r w:rsidR="008B3AD3" w:rsidRPr="00CD0DB5">
        <w:rPr>
          <w:b/>
          <w:sz w:val="28"/>
          <w:szCs w:val="28"/>
          <w:shd w:val="clear" w:color="auto" w:fill="FFFFFF"/>
        </w:rPr>
        <w:t>ти</w:t>
      </w:r>
      <w:r w:rsidR="00AA26A5" w:rsidRPr="00CD0DB5">
        <w:rPr>
          <w:b/>
          <w:sz w:val="28"/>
          <w:szCs w:val="28"/>
          <w:shd w:val="clear" w:color="auto" w:fill="FFFFFF"/>
        </w:rPr>
        <w:t xml:space="preserve">: </w:t>
      </w:r>
      <w:r w:rsidR="00FD608C">
        <w:rPr>
          <w:b/>
          <w:sz w:val="28"/>
          <w:szCs w:val="28"/>
          <w:shd w:val="clear" w:color="auto" w:fill="FFFFFF"/>
          <w:lang w:val="ru-RU"/>
        </w:rPr>
        <w:t>246,51</w:t>
      </w:r>
      <w:r w:rsidR="006F4D22" w:rsidRPr="00CD0DB5">
        <w:rPr>
          <w:b/>
          <w:sz w:val="28"/>
          <w:szCs w:val="28"/>
          <w:shd w:val="clear" w:color="auto" w:fill="FFFFFF"/>
        </w:rPr>
        <w:t xml:space="preserve"> грн.</w:t>
      </w:r>
    </w:p>
    <w:p w14:paraId="7BEF5407" w14:textId="77777777" w:rsidR="005955F7" w:rsidRPr="00CD0DB5" w:rsidRDefault="00CB4504" w:rsidP="00036BA5">
      <w:pPr>
        <w:autoSpaceDE w:val="0"/>
        <w:autoSpaceDN w:val="0"/>
        <w:adjustRightInd w:val="0"/>
        <w:ind w:left="-990"/>
        <w:jc w:val="both"/>
        <w:rPr>
          <w:b/>
          <w:sz w:val="28"/>
          <w:szCs w:val="28"/>
          <w:lang w:eastAsia="uk-UA"/>
        </w:rPr>
      </w:pPr>
      <w:r w:rsidRPr="00CD0DB5">
        <w:rPr>
          <w:b/>
          <w:sz w:val="28"/>
          <w:szCs w:val="28"/>
          <w:lang w:eastAsia="uk-UA"/>
        </w:rPr>
        <w:t>2)</w:t>
      </w:r>
      <w:r w:rsidR="008B3AD3" w:rsidRPr="00CD0DB5">
        <w:rPr>
          <w:b/>
          <w:sz w:val="28"/>
          <w:szCs w:val="28"/>
          <w:lang w:eastAsia="uk-UA"/>
        </w:rPr>
        <w:t xml:space="preserve"> </w:t>
      </w:r>
      <w:r w:rsidR="00786F49" w:rsidRPr="00CD0DB5">
        <w:rPr>
          <w:b/>
          <w:sz w:val="28"/>
          <w:szCs w:val="28"/>
          <w:lang w:eastAsia="uk-UA"/>
        </w:rPr>
        <w:t>час</w:t>
      </w:r>
      <w:r w:rsidR="005955F7" w:rsidRPr="00CD0DB5">
        <w:rPr>
          <w:b/>
          <w:sz w:val="28"/>
          <w:szCs w:val="28"/>
          <w:lang w:eastAsia="uk-UA"/>
        </w:rPr>
        <w:t>:</w:t>
      </w:r>
      <w:r w:rsidR="006F4D22" w:rsidRPr="00CD0DB5">
        <w:rPr>
          <w:b/>
          <w:sz w:val="28"/>
          <w:szCs w:val="28"/>
          <w:lang w:eastAsia="uk-UA"/>
        </w:rPr>
        <w:t xml:space="preserve"> </w:t>
      </w:r>
      <w:r w:rsidR="00CD0DB5" w:rsidRPr="00CD0DB5">
        <w:rPr>
          <w:b/>
          <w:sz w:val="28"/>
          <w:szCs w:val="28"/>
          <w:lang w:eastAsia="uk-UA"/>
        </w:rPr>
        <w:t>11</w:t>
      </w:r>
      <w:r w:rsidR="006F4D22" w:rsidRPr="00CD0DB5">
        <w:rPr>
          <w:b/>
          <w:sz w:val="28"/>
          <w:szCs w:val="28"/>
          <w:lang w:eastAsia="uk-UA"/>
        </w:rPr>
        <w:t xml:space="preserve"> год.</w:t>
      </w:r>
    </w:p>
    <w:p w14:paraId="2777849C" w14:textId="77777777" w:rsidR="00AA26A5" w:rsidRPr="00CB4504" w:rsidRDefault="00B8694E" w:rsidP="00036BA5">
      <w:pPr>
        <w:autoSpaceDE w:val="0"/>
        <w:autoSpaceDN w:val="0"/>
        <w:adjustRightInd w:val="0"/>
        <w:ind w:left="-990" w:firstLine="990"/>
        <w:jc w:val="both"/>
        <w:rPr>
          <w:sz w:val="28"/>
          <w:szCs w:val="28"/>
          <w:lang w:eastAsia="uk-UA"/>
        </w:rPr>
      </w:pPr>
      <w:r>
        <w:rPr>
          <w:sz w:val="28"/>
          <w:szCs w:val="28"/>
          <w:lang w:eastAsia="uk-UA"/>
        </w:rPr>
        <w:t>4.Р</w:t>
      </w:r>
      <w:r w:rsidR="00AA26A5" w:rsidRPr="00CB4504">
        <w:rPr>
          <w:sz w:val="28"/>
          <w:szCs w:val="28"/>
          <w:lang w:eastAsia="uk-UA"/>
        </w:rPr>
        <w:t xml:space="preserve">озмір коштів і часу, що витрачатиметься </w:t>
      </w:r>
      <w:r w:rsidR="00802EED">
        <w:rPr>
          <w:sz w:val="28"/>
          <w:szCs w:val="28"/>
          <w:lang w:eastAsia="uk-UA"/>
        </w:rPr>
        <w:t>органами ліцензування</w:t>
      </w:r>
      <w:r w:rsidR="00AA26A5" w:rsidRPr="00CB4504">
        <w:rPr>
          <w:sz w:val="28"/>
          <w:szCs w:val="28"/>
          <w:lang w:eastAsia="uk-UA"/>
        </w:rPr>
        <w:t xml:space="preserve"> на адміністрування, пов’язане  з дією акту – </w:t>
      </w:r>
      <w:r w:rsidR="006F4D22">
        <w:rPr>
          <w:sz w:val="28"/>
          <w:szCs w:val="28"/>
          <w:lang w:eastAsia="uk-UA"/>
        </w:rPr>
        <w:t>не прогнозується</w:t>
      </w:r>
      <w:r>
        <w:rPr>
          <w:sz w:val="28"/>
          <w:szCs w:val="28"/>
          <w:lang w:eastAsia="uk-UA"/>
        </w:rPr>
        <w:t>.</w:t>
      </w:r>
    </w:p>
    <w:p w14:paraId="2F271616" w14:textId="77777777" w:rsidR="00386D9D" w:rsidRDefault="00B8694E" w:rsidP="00036BA5">
      <w:pPr>
        <w:autoSpaceDE w:val="0"/>
        <w:autoSpaceDN w:val="0"/>
        <w:adjustRightInd w:val="0"/>
        <w:ind w:left="-990" w:firstLine="990"/>
        <w:jc w:val="both"/>
        <w:rPr>
          <w:sz w:val="28"/>
          <w:szCs w:val="28"/>
        </w:rPr>
      </w:pPr>
      <w:r>
        <w:rPr>
          <w:sz w:val="28"/>
          <w:szCs w:val="28"/>
        </w:rPr>
        <w:lastRenderedPageBreak/>
        <w:t>5. Р</w:t>
      </w:r>
      <w:r w:rsidR="00386D9D" w:rsidRPr="00CB4504">
        <w:rPr>
          <w:sz w:val="28"/>
          <w:szCs w:val="28"/>
        </w:rPr>
        <w:t>івень поінформованості суб’єктів господарювання та фізичних осіб</w:t>
      </w:r>
      <w:r w:rsidR="00802EED">
        <w:rPr>
          <w:sz w:val="28"/>
          <w:szCs w:val="28"/>
        </w:rPr>
        <w:t xml:space="preserve"> – підприємців </w:t>
      </w:r>
      <w:r w:rsidR="00386D9D" w:rsidRPr="00CB4504">
        <w:rPr>
          <w:sz w:val="28"/>
          <w:szCs w:val="28"/>
        </w:rPr>
        <w:t>з основних положень акта – вище середнього.</w:t>
      </w:r>
      <w:r w:rsidR="00301313" w:rsidRPr="00CB4504">
        <w:t xml:space="preserve"> </w:t>
      </w:r>
      <w:r w:rsidR="00301313" w:rsidRPr="00CB4504">
        <w:rPr>
          <w:sz w:val="28"/>
          <w:szCs w:val="28"/>
        </w:rPr>
        <w:t>Акт буде розміщено на офіційних</w:t>
      </w:r>
      <w:r w:rsidR="00802EED">
        <w:rPr>
          <w:sz w:val="28"/>
          <w:szCs w:val="28"/>
        </w:rPr>
        <w:t xml:space="preserve"> сайтах Верховної Ради України</w:t>
      </w:r>
      <w:r w:rsidR="00746C6C">
        <w:rPr>
          <w:sz w:val="28"/>
          <w:szCs w:val="28"/>
        </w:rPr>
        <w:t>, Міністерства економічного розвитку і торгівлі України</w:t>
      </w:r>
      <w:r w:rsidR="00802EED">
        <w:rPr>
          <w:sz w:val="28"/>
          <w:szCs w:val="28"/>
        </w:rPr>
        <w:t xml:space="preserve"> </w:t>
      </w:r>
      <w:r w:rsidR="00A94C4E" w:rsidRPr="00CB4504">
        <w:rPr>
          <w:sz w:val="28"/>
          <w:szCs w:val="28"/>
        </w:rPr>
        <w:t xml:space="preserve">та на сайтах </w:t>
      </w:r>
      <w:r w:rsidR="00802EED">
        <w:rPr>
          <w:sz w:val="28"/>
          <w:szCs w:val="28"/>
        </w:rPr>
        <w:t>органів ліцензування</w:t>
      </w:r>
      <w:r w:rsidR="00A94C4E" w:rsidRPr="00CB4504">
        <w:rPr>
          <w:sz w:val="28"/>
          <w:szCs w:val="28"/>
        </w:rPr>
        <w:t>.</w:t>
      </w:r>
    </w:p>
    <w:p w14:paraId="0987136D" w14:textId="77777777" w:rsidR="00746C6C" w:rsidRDefault="00746C6C" w:rsidP="00036BA5">
      <w:pPr>
        <w:autoSpaceDE w:val="0"/>
        <w:autoSpaceDN w:val="0"/>
        <w:adjustRightInd w:val="0"/>
        <w:ind w:left="-990" w:firstLine="990"/>
        <w:jc w:val="both"/>
        <w:rPr>
          <w:sz w:val="28"/>
          <w:szCs w:val="28"/>
        </w:rPr>
      </w:pPr>
    </w:p>
    <w:p w14:paraId="1E00F060" w14:textId="77777777" w:rsidR="006F2C5E" w:rsidRDefault="006F2C5E" w:rsidP="00036BA5">
      <w:pPr>
        <w:autoSpaceDE w:val="0"/>
        <w:autoSpaceDN w:val="0"/>
        <w:adjustRightInd w:val="0"/>
        <w:ind w:left="-990" w:firstLine="990"/>
        <w:jc w:val="both"/>
        <w:rPr>
          <w:b/>
          <w:sz w:val="28"/>
          <w:szCs w:val="28"/>
          <w:u w:val="single"/>
        </w:rPr>
      </w:pPr>
      <w:r w:rsidRPr="00B8694E">
        <w:rPr>
          <w:b/>
          <w:sz w:val="28"/>
          <w:szCs w:val="28"/>
          <w:u w:val="single"/>
        </w:rPr>
        <w:t>Додаткові показники результативності:</w:t>
      </w:r>
    </w:p>
    <w:p w14:paraId="25125A0F" w14:textId="77777777" w:rsidR="00B8694E" w:rsidRPr="00B8694E" w:rsidRDefault="00B8694E" w:rsidP="00036BA5">
      <w:pPr>
        <w:autoSpaceDE w:val="0"/>
        <w:autoSpaceDN w:val="0"/>
        <w:adjustRightInd w:val="0"/>
        <w:ind w:left="-990" w:firstLine="990"/>
        <w:jc w:val="both"/>
        <w:rPr>
          <w:sz w:val="28"/>
          <w:szCs w:val="28"/>
        </w:rPr>
      </w:pPr>
      <w:r>
        <w:rPr>
          <w:sz w:val="28"/>
          <w:szCs w:val="28"/>
        </w:rPr>
        <w:t>к</w:t>
      </w:r>
      <w:r w:rsidRPr="00B8694E">
        <w:rPr>
          <w:sz w:val="28"/>
          <w:szCs w:val="28"/>
        </w:rPr>
        <w:t xml:space="preserve">ількість заяв, поданих </w:t>
      </w:r>
      <w:r>
        <w:rPr>
          <w:sz w:val="28"/>
          <w:szCs w:val="28"/>
        </w:rPr>
        <w:t xml:space="preserve">до органів ліцензування </w:t>
      </w:r>
      <w:r w:rsidRPr="00B8694E">
        <w:rPr>
          <w:sz w:val="28"/>
          <w:szCs w:val="28"/>
        </w:rPr>
        <w:t>здобувачами ліцензій;</w:t>
      </w:r>
    </w:p>
    <w:p w14:paraId="4C15BA5B" w14:textId="77777777" w:rsidR="006F2C5E" w:rsidRDefault="006F2C5E" w:rsidP="006F2C5E">
      <w:pPr>
        <w:autoSpaceDE w:val="0"/>
        <w:autoSpaceDN w:val="0"/>
        <w:adjustRightInd w:val="0"/>
        <w:ind w:left="-990" w:firstLine="990"/>
        <w:jc w:val="both"/>
        <w:rPr>
          <w:sz w:val="28"/>
          <w:szCs w:val="28"/>
          <w:shd w:val="clear" w:color="auto" w:fill="FFFFFF"/>
        </w:rPr>
      </w:pPr>
      <w:r w:rsidRPr="00A03E6F">
        <w:rPr>
          <w:sz w:val="28"/>
          <w:szCs w:val="28"/>
          <w:shd w:val="clear" w:color="auto" w:fill="FFFFFF"/>
        </w:rPr>
        <w:t xml:space="preserve">кількість </w:t>
      </w:r>
      <w:r>
        <w:rPr>
          <w:sz w:val="28"/>
          <w:szCs w:val="28"/>
          <w:shd w:val="clear" w:color="auto" w:fill="FFFFFF"/>
        </w:rPr>
        <w:t>прийнятих органами ліцензування рішень про видачу ліцензі</w:t>
      </w:r>
      <w:r w:rsidR="00B8694E">
        <w:rPr>
          <w:sz w:val="28"/>
          <w:szCs w:val="28"/>
          <w:shd w:val="clear" w:color="auto" w:fill="FFFFFF"/>
        </w:rPr>
        <w:t>й</w:t>
      </w:r>
      <w:r>
        <w:rPr>
          <w:sz w:val="28"/>
          <w:szCs w:val="28"/>
          <w:shd w:val="clear" w:color="auto" w:fill="FFFFFF"/>
        </w:rPr>
        <w:t>;</w:t>
      </w:r>
    </w:p>
    <w:p w14:paraId="789B04C7" w14:textId="77777777" w:rsidR="00B8694E" w:rsidRDefault="00B8694E" w:rsidP="006F2C5E">
      <w:pPr>
        <w:autoSpaceDE w:val="0"/>
        <w:autoSpaceDN w:val="0"/>
        <w:adjustRightInd w:val="0"/>
        <w:ind w:left="-990" w:firstLine="990"/>
        <w:jc w:val="both"/>
        <w:rPr>
          <w:sz w:val="28"/>
          <w:szCs w:val="28"/>
          <w:shd w:val="clear" w:color="auto" w:fill="FFFFFF"/>
        </w:rPr>
      </w:pPr>
      <w:r>
        <w:rPr>
          <w:sz w:val="28"/>
          <w:szCs w:val="28"/>
          <w:shd w:val="clear" w:color="auto" w:fill="FFFFFF"/>
        </w:rPr>
        <w:t>кількість прийнятих органами ліцензування рішень про залишення заяви без розгляду;</w:t>
      </w:r>
    </w:p>
    <w:p w14:paraId="6E1350AF" w14:textId="77777777" w:rsidR="00B8694E" w:rsidRDefault="00B8694E" w:rsidP="006F2C5E">
      <w:pPr>
        <w:autoSpaceDE w:val="0"/>
        <w:autoSpaceDN w:val="0"/>
        <w:adjustRightInd w:val="0"/>
        <w:ind w:left="-990" w:firstLine="990"/>
        <w:jc w:val="both"/>
        <w:rPr>
          <w:sz w:val="28"/>
          <w:szCs w:val="28"/>
          <w:shd w:val="clear" w:color="auto" w:fill="FFFFFF"/>
        </w:rPr>
      </w:pPr>
      <w:r>
        <w:rPr>
          <w:sz w:val="28"/>
          <w:szCs w:val="28"/>
          <w:shd w:val="clear" w:color="auto" w:fill="FFFFFF"/>
        </w:rPr>
        <w:t>кількість прийнятих органами ліцензування рішень по відмову у видачі ліцензії;</w:t>
      </w:r>
    </w:p>
    <w:p w14:paraId="760B364B" w14:textId="77777777" w:rsidR="006F2C5E" w:rsidRDefault="006F2C5E" w:rsidP="006F2C5E">
      <w:pPr>
        <w:autoSpaceDE w:val="0"/>
        <w:autoSpaceDN w:val="0"/>
        <w:adjustRightInd w:val="0"/>
        <w:ind w:left="-990" w:firstLine="990"/>
        <w:jc w:val="both"/>
        <w:rPr>
          <w:sz w:val="28"/>
          <w:szCs w:val="28"/>
          <w:shd w:val="clear" w:color="auto" w:fill="FFFFFF"/>
        </w:rPr>
      </w:pPr>
      <w:r>
        <w:rPr>
          <w:sz w:val="28"/>
          <w:szCs w:val="28"/>
          <w:shd w:val="clear" w:color="auto" w:fill="FFFFFF"/>
        </w:rPr>
        <w:t>кількість прийнятих органами ліцензування рішень про анулювання ліцензі</w:t>
      </w:r>
      <w:r w:rsidR="00B8694E">
        <w:rPr>
          <w:sz w:val="28"/>
          <w:szCs w:val="28"/>
          <w:shd w:val="clear" w:color="auto" w:fill="FFFFFF"/>
        </w:rPr>
        <w:t>й</w:t>
      </w:r>
      <w:r>
        <w:rPr>
          <w:sz w:val="28"/>
          <w:szCs w:val="28"/>
          <w:shd w:val="clear" w:color="auto" w:fill="FFFFFF"/>
        </w:rPr>
        <w:t>;</w:t>
      </w:r>
    </w:p>
    <w:p w14:paraId="272ECAAB" w14:textId="77777777" w:rsidR="006F2C5E" w:rsidRDefault="006F2C5E" w:rsidP="006F2C5E">
      <w:pPr>
        <w:autoSpaceDE w:val="0"/>
        <w:autoSpaceDN w:val="0"/>
        <w:adjustRightInd w:val="0"/>
        <w:ind w:left="-990" w:firstLine="990"/>
        <w:jc w:val="both"/>
        <w:rPr>
          <w:sz w:val="28"/>
          <w:szCs w:val="28"/>
          <w:shd w:val="clear" w:color="auto" w:fill="FFFFFF"/>
        </w:rPr>
      </w:pPr>
      <w:bookmarkStart w:id="5" w:name="_Hlk502669499"/>
      <w:r>
        <w:rPr>
          <w:sz w:val="28"/>
          <w:szCs w:val="28"/>
          <w:shd w:val="clear" w:color="auto" w:fill="FFFFFF"/>
        </w:rPr>
        <w:t xml:space="preserve">кількість прийнятих </w:t>
      </w:r>
      <w:bookmarkStart w:id="6" w:name="_Hlk484166295"/>
      <w:r>
        <w:rPr>
          <w:sz w:val="28"/>
          <w:szCs w:val="28"/>
          <w:shd w:val="clear" w:color="auto" w:fill="FFFFFF"/>
        </w:rPr>
        <w:t>органами ліцензування</w:t>
      </w:r>
      <w:bookmarkEnd w:id="6"/>
      <w:r>
        <w:rPr>
          <w:sz w:val="28"/>
          <w:szCs w:val="28"/>
          <w:shd w:val="clear" w:color="auto" w:fill="FFFFFF"/>
        </w:rPr>
        <w:t xml:space="preserve"> рішень про зупинення дії ліцензі</w:t>
      </w:r>
      <w:r w:rsidR="00B8694E">
        <w:rPr>
          <w:sz w:val="28"/>
          <w:szCs w:val="28"/>
          <w:shd w:val="clear" w:color="auto" w:fill="FFFFFF"/>
        </w:rPr>
        <w:t>й в повному обсязі</w:t>
      </w:r>
      <w:r>
        <w:rPr>
          <w:sz w:val="28"/>
          <w:szCs w:val="28"/>
          <w:shd w:val="clear" w:color="auto" w:fill="FFFFFF"/>
        </w:rPr>
        <w:t>;</w:t>
      </w:r>
    </w:p>
    <w:bookmarkEnd w:id="5"/>
    <w:p w14:paraId="4921B97E" w14:textId="77777777" w:rsidR="00B8694E" w:rsidRPr="00B8694E" w:rsidRDefault="00B8694E" w:rsidP="00B8694E">
      <w:pPr>
        <w:autoSpaceDE w:val="0"/>
        <w:autoSpaceDN w:val="0"/>
        <w:adjustRightInd w:val="0"/>
        <w:ind w:left="-990" w:firstLine="990"/>
        <w:jc w:val="both"/>
        <w:rPr>
          <w:sz w:val="28"/>
          <w:szCs w:val="28"/>
          <w:shd w:val="clear" w:color="auto" w:fill="FFFFFF"/>
        </w:rPr>
      </w:pPr>
      <w:r w:rsidRPr="00B8694E">
        <w:rPr>
          <w:sz w:val="28"/>
          <w:szCs w:val="28"/>
          <w:shd w:val="clear" w:color="auto" w:fill="FFFFFF"/>
        </w:rPr>
        <w:t xml:space="preserve">кількість прийнятих органами ліцензування рішень про </w:t>
      </w:r>
      <w:r>
        <w:rPr>
          <w:sz w:val="28"/>
          <w:szCs w:val="28"/>
          <w:shd w:val="clear" w:color="auto" w:fill="FFFFFF"/>
        </w:rPr>
        <w:t xml:space="preserve">часткове </w:t>
      </w:r>
      <w:r w:rsidRPr="00B8694E">
        <w:rPr>
          <w:sz w:val="28"/>
          <w:szCs w:val="28"/>
          <w:shd w:val="clear" w:color="auto" w:fill="FFFFFF"/>
        </w:rPr>
        <w:t>зупинення дії ліцензій;</w:t>
      </w:r>
    </w:p>
    <w:p w14:paraId="2DD5F988" w14:textId="77777777" w:rsidR="006F2C5E" w:rsidRDefault="006F2C5E" w:rsidP="006F2C5E">
      <w:pPr>
        <w:autoSpaceDE w:val="0"/>
        <w:autoSpaceDN w:val="0"/>
        <w:adjustRightInd w:val="0"/>
        <w:ind w:left="-990" w:firstLine="990"/>
        <w:jc w:val="both"/>
        <w:rPr>
          <w:sz w:val="28"/>
          <w:szCs w:val="28"/>
          <w:shd w:val="clear" w:color="auto" w:fill="FFFFFF"/>
        </w:rPr>
      </w:pPr>
      <w:r>
        <w:rPr>
          <w:sz w:val="28"/>
          <w:szCs w:val="28"/>
          <w:shd w:val="clear" w:color="auto" w:fill="FFFFFF"/>
        </w:rPr>
        <w:t>кількість прийнятих</w:t>
      </w:r>
      <w:r w:rsidRPr="00C50E40">
        <w:rPr>
          <w:sz w:val="28"/>
          <w:szCs w:val="28"/>
          <w:shd w:val="clear" w:color="auto" w:fill="FFFFFF"/>
        </w:rPr>
        <w:t xml:space="preserve"> органами ліцензування</w:t>
      </w:r>
      <w:r>
        <w:rPr>
          <w:sz w:val="28"/>
          <w:szCs w:val="28"/>
          <w:shd w:val="clear" w:color="auto" w:fill="FFFFFF"/>
        </w:rPr>
        <w:t xml:space="preserve"> рішень про відновлення дії ліцензі</w:t>
      </w:r>
      <w:r w:rsidR="00B8694E">
        <w:rPr>
          <w:sz w:val="28"/>
          <w:szCs w:val="28"/>
          <w:shd w:val="clear" w:color="auto" w:fill="FFFFFF"/>
        </w:rPr>
        <w:t>й</w:t>
      </w:r>
      <w:r>
        <w:rPr>
          <w:sz w:val="28"/>
          <w:szCs w:val="28"/>
          <w:shd w:val="clear" w:color="auto" w:fill="FFFFFF"/>
        </w:rPr>
        <w:t>;</w:t>
      </w:r>
    </w:p>
    <w:p w14:paraId="04D29952" w14:textId="77777777" w:rsidR="00B8694E" w:rsidRDefault="00B8694E" w:rsidP="006F2C5E">
      <w:pPr>
        <w:autoSpaceDE w:val="0"/>
        <w:autoSpaceDN w:val="0"/>
        <w:adjustRightInd w:val="0"/>
        <w:ind w:left="-990" w:firstLine="990"/>
        <w:jc w:val="both"/>
        <w:rPr>
          <w:sz w:val="28"/>
          <w:szCs w:val="28"/>
          <w:shd w:val="clear" w:color="auto" w:fill="FFFFFF"/>
        </w:rPr>
      </w:pPr>
      <w:bookmarkStart w:id="7" w:name="_Hlk502669991"/>
      <w:r>
        <w:rPr>
          <w:sz w:val="28"/>
          <w:szCs w:val="28"/>
          <w:shd w:val="clear" w:color="auto" w:fill="FFFFFF"/>
        </w:rPr>
        <w:t>кількість оскаржених рішень органу ліцензування про відмову у видачі ліцензії;</w:t>
      </w:r>
    </w:p>
    <w:bookmarkEnd w:id="7"/>
    <w:p w14:paraId="1E509A22" w14:textId="77777777" w:rsidR="00B8694E" w:rsidRDefault="00B8694E" w:rsidP="00B8694E">
      <w:pPr>
        <w:autoSpaceDE w:val="0"/>
        <w:autoSpaceDN w:val="0"/>
        <w:adjustRightInd w:val="0"/>
        <w:ind w:left="-990" w:firstLine="990"/>
        <w:jc w:val="both"/>
        <w:rPr>
          <w:sz w:val="28"/>
          <w:szCs w:val="28"/>
          <w:shd w:val="clear" w:color="auto" w:fill="FFFFFF"/>
        </w:rPr>
      </w:pPr>
      <w:r>
        <w:rPr>
          <w:sz w:val="28"/>
          <w:szCs w:val="28"/>
          <w:shd w:val="clear" w:color="auto" w:fill="FFFFFF"/>
        </w:rPr>
        <w:t>кількість оскаржених рішень органу ліцензування про зупинення дії ліцензії в повному обсязі або частково;</w:t>
      </w:r>
    </w:p>
    <w:p w14:paraId="1535DECC" w14:textId="77777777" w:rsidR="00B8694E" w:rsidRDefault="00B8694E" w:rsidP="00B8694E">
      <w:pPr>
        <w:autoSpaceDE w:val="0"/>
        <w:autoSpaceDN w:val="0"/>
        <w:adjustRightInd w:val="0"/>
        <w:ind w:left="-990" w:firstLine="990"/>
        <w:jc w:val="both"/>
        <w:rPr>
          <w:sz w:val="28"/>
          <w:szCs w:val="28"/>
          <w:shd w:val="clear" w:color="auto" w:fill="FFFFFF"/>
        </w:rPr>
      </w:pPr>
      <w:r w:rsidRPr="00B8694E">
        <w:rPr>
          <w:sz w:val="28"/>
          <w:szCs w:val="28"/>
          <w:shd w:val="clear" w:color="auto" w:fill="FFFFFF"/>
        </w:rPr>
        <w:t xml:space="preserve">кількість оскаржених рішень органу ліцензування про </w:t>
      </w:r>
      <w:r>
        <w:rPr>
          <w:sz w:val="28"/>
          <w:szCs w:val="28"/>
          <w:shd w:val="clear" w:color="auto" w:fill="FFFFFF"/>
        </w:rPr>
        <w:t>анулювання</w:t>
      </w:r>
      <w:r w:rsidRPr="00B8694E">
        <w:rPr>
          <w:sz w:val="28"/>
          <w:szCs w:val="28"/>
          <w:shd w:val="clear" w:color="auto" w:fill="FFFFFF"/>
        </w:rPr>
        <w:t xml:space="preserve"> ліцензії</w:t>
      </w:r>
      <w:r w:rsidR="0095375D">
        <w:rPr>
          <w:sz w:val="28"/>
          <w:szCs w:val="28"/>
          <w:shd w:val="clear" w:color="auto" w:fill="FFFFFF"/>
        </w:rPr>
        <w:t>;</w:t>
      </w:r>
    </w:p>
    <w:p w14:paraId="4EB106C9" w14:textId="77777777" w:rsidR="0095375D" w:rsidRDefault="0095375D" w:rsidP="00B8694E">
      <w:pPr>
        <w:autoSpaceDE w:val="0"/>
        <w:autoSpaceDN w:val="0"/>
        <w:adjustRightInd w:val="0"/>
        <w:ind w:left="-990" w:firstLine="990"/>
        <w:jc w:val="both"/>
        <w:rPr>
          <w:sz w:val="28"/>
          <w:szCs w:val="28"/>
          <w:shd w:val="clear" w:color="auto" w:fill="FFFFFF"/>
        </w:rPr>
      </w:pPr>
      <w:bookmarkStart w:id="8" w:name="_Hlk502673431"/>
      <w:r>
        <w:rPr>
          <w:sz w:val="28"/>
          <w:szCs w:val="28"/>
          <w:shd w:val="clear" w:color="auto" w:fill="FFFFFF"/>
        </w:rPr>
        <w:t>кількість заяв, поданих до органів ліцензування щодо звуження провадження виду господарської діяльності;</w:t>
      </w:r>
    </w:p>
    <w:bookmarkEnd w:id="8"/>
    <w:p w14:paraId="785E1C37" w14:textId="77777777" w:rsidR="0095375D" w:rsidRPr="0095375D" w:rsidRDefault="0095375D" w:rsidP="0095375D">
      <w:pPr>
        <w:autoSpaceDE w:val="0"/>
        <w:autoSpaceDN w:val="0"/>
        <w:adjustRightInd w:val="0"/>
        <w:ind w:left="-990" w:firstLine="990"/>
        <w:jc w:val="both"/>
        <w:rPr>
          <w:sz w:val="28"/>
          <w:szCs w:val="28"/>
          <w:shd w:val="clear" w:color="auto" w:fill="FFFFFF"/>
        </w:rPr>
      </w:pPr>
      <w:r w:rsidRPr="0095375D">
        <w:rPr>
          <w:sz w:val="28"/>
          <w:szCs w:val="28"/>
          <w:shd w:val="clear" w:color="auto" w:fill="FFFFFF"/>
        </w:rPr>
        <w:t xml:space="preserve">кількість заяв, поданих до органів ліцензування щодо </w:t>
      </w:r>
      <w:r>
        <w:rPr>
          <w:sz w:val="28"/>
          <w:szCs w:val="28"/>
          <w:shd w:val="clear" w:color="auto" w:fill="FFFFFF"/>
        </w:rPr>
        <w:t>розширення</w:t>
      </w:r>
      <w:r w:rsidRPr="0095375D">
        <w:rPr>
          <w:sz w:val="28"/>
          <w:szCs w:val="28"/>
          <w:shd w:val="clear" w:color="auto" w:fill="FFFFFF"/>
        </w:rPr>
        <w:t xml:space="preserve"> провадження </w:t>
      </w:r>
      <w:r>
        <w:rPr>
          <w:sz w:val="28"/>
          <w:szCs w:val="28"/>
          <w:shd w:val="clear" w:color="auto" w:fill="FFFFFF"/>
        </w:rPr>
        <w:t xml:space="preserve">виду </w:t>
      </w:r>
      <w:r w:rsidRPr="0095375D">
        <w:rPr>
          <w:sz w:val="28"/>
          <w:szCs w:val="28"/>
          <w:shd w:val="clear" w:color="auto" w:fill="FFFFFF"/>
        </w:rPr>
        <w:t>господарської діяльності</w:t>
      </w:r>
      <w:r>
        <w:rPr>
          <w:sz w:val="28"/>
          <w:szCs w:val="28"/>
          <w:shd w:val="clear" w:color="auto" w:fill="FFFFFF"/>
        </w:rPr>
        <w:t>.</w:t>
      </w:r>
    </w:p>
    <w:p w14:paraId="4D6D69F5" w14:textId="77777777" w:rsidR="0095375D" w:rsidRDefault="0095375D" w:rsidP="00B8694E">
      <w:pPr>
        <w:autoSpaceDE w:val="0"/>
        <w:autoSpaceDN w:val="0"/>
        <w:adjustRightInd w:val="0"/>
        <w:ind w:left="-990" w:firstLine="990"/>
        <w:jc w:val="both"/>
        <w:rPr>
          <w:sz w:val="28"/>
          <w:szCs w:val="28"/>
          <w:shd w:val="clear" w:color="auto" w:fill="FFFFFF"/>
        </w:rPr>
      </w:pPr>
    </w:p>
    <w:p w14:paraId="7986BF21" w14:textId="77777777" w:rsidR="00386D9D" w:rsidRPr="00CB4504" w:rsidRDefault="00386D9D" w:rsidP="00036BA5">
      <w:pPr>
        <w:ind w:left="-990"/>
        <w:jc w:val="center"/>
        <w:rPr>
          <w:b/>
          <w:sz w:val="28"/>
          <w:szCs w:val="28"/>
        </w:rPr>
      </w:pPr>
      <w:bookmarkStart w:id="9" w:name="n36"/>
      <w:bookmarkEnd w:id="9"/>
      <w:r w:rsidRPr="00CB4504">
        <w:rPr>
          <w:b/>
          <w:sz w:val="28"/>
          <w:szCs w:val="28"/>
          <w:lang w:val="en-US"/>
        </w:rPr>
        <w:t>IX</w:t>
      </w:r>
      <w:r w:rsidRPr="00CB4504">
        <w:rPr>
          <w:b/>
          <w:sz w:val="28"/>
          <w:szCs w:val="28"/>
        </w:rPr>
        <w:t>. Визначення заходів, за допомогою яких здійснюватиметься відстеження результативності дії регуляторного акта</w:t>
      </w:r>
    </w:p>
    <w:p w14:paraId="415F611B" w14:textId="77777777" w:rsidR="00C229A6" w:rsidRPr="00CB4504" w:rsidRDefault="00C229A6" w:rsidP="00036BA5">
      <w:pPr>
        <w:ind w:left="-990"/>
        <w:jc w:val="both"/>
        <w:rPr>
          <w:sz w:val="28"/>
          <w:szCs w:val="28"/>
        </w:rPr>
      </w:pPr>
    </w:p>
    <w:p w14:paraId="031D1610" w14:textId="77777777" w:rsidR="004B4983" w:rsidRPr="00CB4504" w:rsidRDefault="004B4983" w:rsidP="00036BA5">
      <w:pPr>
        <w:autoSpaceDE w:val="0"/>
        <w:autoSpaceDN w:val="0"/>
        <w:adjustRightInd w:val="0"/>
        <w:ind w:left="-990" w:firstLine="990"/>
        <w:jc w:val="both"/>
        <w:rPr>
          <w:sz w:val="28"/>
          <w:szCs w:val="28"/>
        </w:rPr>
      </w:pPr>
      <w:r w:rsidRPr="00CB4504">
        <w:rPr>
          <w:sz w:val="28"/>
          <w:szCs w:val="28"/>
        </w:rPr>
        <w:t>Відносно цього регуляторного акта повинно послідовно здійснюватися базове, повторне та періодичне відстеження його результативності. Зокрема:</w:t>
      </w:r>
    </w:p>
    <w:p w14:paraId="0DE421B5" w14:textId="77777777" w:rsidR="00386D9D" w:rsidRPr="00CB4504" w:rsidRDefault="004B4983" w:rsidP="00036BA5">
      <w:pPr>
        <w:autoSpaceDE w:val="0"/>
        <w:autoSpaceDN w:val="0"/>
        <w:adjustRightInd w:val="0"/>
        <w:ind w:left="-990" w:firstLine="990"/>
        <w:jc w:val="both"/>
        <w:rPr>
          <w:sz w:val="28"/>
          <w:szCs w:val="28"/>
        </w:rPr>
      </w:pPr>
      <w:r w:rsidRPr="00CB4504">
        <w:rPr>
          <w:sz w:val="28"/>
          <w:szCs w:val="28"/>
        </w:rPr>
        <w:t>б</w:t>
      </w:r>
      <w:r w:rsidR="00386D9D" w:rsidRPr="00CB4504">
        <w:rPr>
          <w:sz w:val="28"/>
          <w:szCs w:val="28"/>
        </w:rPr>
        <w:t>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r w:rsidRPr="00CB4504">
        <w:rPr>
          <w:sz w:val="28"/>
          <w:szCs w:val="28"/>
        </w:rPr>
        <w:t>;</w:t>
      </w:r>
    </w:p>
    <w:p w14:paraId="03EDD196" w14:textId="77777777" w:rsidR="00386D9D" w:rsidRPr="00CB4504" w:rsidRDefault="004B4983" w:rsidP="00036BA5">
      <w:pPr>
        <w:autoSpaceDE w:val="0"/>
        <w:autoSpaceDN w:val="0"/>
        <w:adjustRightInd w:val="0"/>
        <w:ind w:left="-990" w:firstLine="990"/>
        <w:jc w:val="both"/>
        <w:rPr>
          <w:sz w:val="28"/>
          <w:szCs w:val="28"/>
        </w:rPr>
      </w:pPr>
      <w:r w:rsidRPr="00CB4504">
        <w:rPr>
          <w:sz w:val="28"/>
          <w:szCs w:val="28"/>
        </w:rPr>
        <w:t>п</w:t>
      </w:r>
      <w:r w:rsidR="00386D9D" w:rsidRPr="00CB4504">
        <w:rPr>
          <w:sz w:val="28"/>
          <w:szCs w:val="28"/>
        </w:rPr>
        <w:t xml:space="preserve">овторне відстеження результативності </w:t>
      </w:r>
      <w:r w:rsidRPr="00CB4504">
        <w:rPr>
          <w:sz w:val="28"/>
          <w:szCs w:val="28"/>
        </w:rPr>
        <w:t xml:space="preserve">– </w:t>
      </w:r>
      <w:r w:rsidR="00386D9D" w:rsidRPr="00CB4504">
        <w:rPr>
          <w:sz w:val="28"/>
          <w:szCs w:val="28"/>
        </w:rPr>
        <w:t>через рік з дня набрання ним чинності, але не пізніше двох років з дня набрання чинності цим актом</w:t>
      </w:r>
      <w:r w:rsidRPr="00CB4504">
        <w:rPr>
          <w:sz w:val="28"/>
          <w:szCs w:val="28"/>
        </w:rPr>
        <w:t>;</w:t>
      </w:r>
    </w:p>
    <w:p w14:paraId="558E0DC8" w14:textId="77777777" w:rsidR="00386D9D" w:rsidRPr="00CB4504" w:rsidRDefault="004B4983" w:rsidP="00036BA5">
      <w:pPr>
        <w:autoSpaceDE w:val="0"/>
        <w:autoSpaceDN w:val="0"/>
        <w:adjustRightInd w:val="0"/>
        <w:ind w:left="-990" w:firstLine="990"/>
        <w:jc w:val="both"/>
        <w:rPr>
          <w:sz w:val="28"/>
          <w:szCs w:val="28"/>
        </w:rPr>
      </w:pPr>
      <w:r w:rsidRPr="00CB4504">
        <w:rPr>
          <w:sz w:val="28"/>
          <w:szCs w:val="28"/>
        </w:rPr>
        <w:t>п</w:t>
      </w:r>
      <w:r w:rsidR="00386D9D" w:rsidRPr="00CB4504">
        <w:rPr>
          <w:sz w:val="28"/>
          <w:szCs w:val="28"/>
        </w:rPr>
        <w:t xml:space="preserve">еріодичне відстеження результативності </w:t>
      </w:r>
      <w:r w:rsidRPr="00CB4504">
        <w:rPr>
          <w:sz w:val="28"/>
          <w:szCs w:val="28"/>
        </w:rPr>
        <w:t>–</w:t>
      </w:r>
      <w:r w:rsidR="00386D9D" w:rsidRPr="00CB4504">
        <w:rPr>
          <w:sz w:val="28"/>
          <w:szCs w:val="28"/>
        </w:rPr>
        <w:t xml:space="preserve"> один</w:t>
      </w:r>
      <w:r w:rsidRPr="00CB4504">
        <w:rPr>
          <w:sz w:val="28"/>
          <w:szCs w:val="28"/>
        </w:rPr>
        <w:t xml:space="preserve"> </w:t>
      </w:r>
      <w:r w:rsidR="00386D9D" w:rsidRPr="00CB4504">
        <w:rPr>
          <w:sz w:val="28"/>
          <w:szCs w:val="28"/>
        </w:rPr>
        <w:t>раз на кожні три роки починаючи з дня закінчення заходів з повторного відстеження результативності цього акта.</w:t>
      </w:r>
    </w:p>
    <w:p w14:paraId="45B38487" w14:textId="77777777" w:rsidR="002F3D6E" w:rsidRDefault="002F3D6E" w:rsidP="002F3D6E">
      <w:pPr>
        <w:autoSpaceDE w:val="0"/>
        <w:autoSpaceDN w:val="0"/>
        <w:adjustRightInd w:val="0"/>
        <w:ind w:left="-990" w:firstLine="990"/>
        <w:jc w:val="both"/>
        <w:rPr>
          <w:sz w:val="28"/>
          <w:szCs w:val="28"/>
        </w:rPr>
      </w:pPr>
      <w:r w:rsidRPr="002F3D6E">
        <w:rPr>
          <w:sz w:val="28"/>
          <w:szCs w:val="28"/>
        </w:rPr>
        <w:t>Вид даних, за допомогою яких здійснюватиметься відстеження результативності – статистичні</w:t>
      </w:r>
      <w:r w:rsidR="00746C6C">
        <w:rPr>
          <w:sz w:val="28"/>
          <w:szCs w:val="28"/>
        </w:rPr>
        <w:t xml:space="preserve"> та соціологічні.</w:t>
      </w:r>
    </w:p>
    <w:p w14:paraId="12F004D7" w14:textId="77777777" w:rsidR="00746C6C" w:rsidRDefault="00746C6C" w:rsidP="002F3D6E">
      <w:pPr>
        <w:autoSpaceDE w:val="0"/>
        <w:autoSpaceDN w:val="0"/>
        <w:adjustRightInd w:val="0"/>
        <w:ind w:left="-990" w:firstLine="990"/>
        <w:jc w:val="both"/>
        <w:rPr>
          <w:sz w:val="28"/>
          <w:szCs w:val="28"/>
        </w:rPr>
      </w:pPr>
      <w:r>
        <w:rPr>
          <w:sz w:val="28"/>
          <w:szCs w:val="28"/>
        </w:rPr>
        <w:t>Соціологічні дані будуть отримані в результаті опитування ліцензіатів.</w:t>
      </w:r>
    </w:p>
    <w:p w14:paraId="1CF65EC2" w14:textId="77777777" w:rsidR="00E77EF4" w:rsidRPr="003D606E" w:rsidRDefault="00E77EF4" w:rsidP="00036BA5">
      <w:pPr>
        <w:autoSpaceDE w:val="0"/>
        <w:autoSpaceDN w:val="0"/>
        <w:adjustRightInd w:val="0"/>
        <w:ind w:left="-990" w:firstLine="990"/>
        <w:jc w:val="both"/>
        <w:rPr>
          <w:sz w:val="28"/>
          <w:szCs w:val="28"/>
        </w:rPr>
      </w:pPr>
      <w:r w:rsidRPr="00CB4504">
        <w:rPr>
          <w:sz w:val="28"/>
          <w:szCs w:val="28"/>
        </w:rPr>
        <w:t xml:space="preserve">Відповідні відстеження будуть проводитись шляхом аналізу статистичних </w:t>
      </w:r>
      <w:r w:rsidR="00746C6C">
        <w:rPr>
          <w:sz w:val="28"/>
          <w:szCs w:val="28"/>
        </w:rPr>
        <w:t xml:space="preserve">та соціологічних </w:t>
      </w:r>
      <w:r w:rsidRPr="00CB4504">
        <w:rPr>
          <w:sz w:val="28"/>
          <w:szCs w:val="28"/>
        </w:rPr>
        <w:t xml:space="preserve">даних, виконавцем яких </w:t>
      </w:r>
      <w:r w:rsidRPr="003D606E">
        <w:rPr>
          <w:sz w:val="28"/>
          <w:szCs w:val="28"/>
        </w:rPr>
        <w:t>є Міністерство.</w:t>
      </w:r>
    </w:p>
    <w:p w14:paraId="329E0A39" w14:textId="77777777" w:rsidR="00386D9D" w:rsidRPr="00CB4504" w:rsidRDefault="00386D9D" w:rsidP="00036BA5">
      <w:pPr>
        <w:autoSpaceDE w:val="0"/>
        <w:autoSpaceDN w:val="0"/>
        <w:adjustRightInd w:val="0"/>
        <w:ind w:left="-990"/>
        <w:jc w:val="both"/>
        <w:rPr>
          <w:bCs/>
          <w:sz w:val="28"/>
          <w:szCs w:val="28"/>
        </w:rPr>
      </w:pPr>
    </w:p>
    <w:p w14:paraId="73FB0D10" w14:textId="77777777" w:rsidR="006F2C5E" w:rsidRPr="006F2C5E" w:rsidRDefault="006F2C5E" w:rsidP="006F2C5E">
      <w:pPr>
        <w:autoSpaceDE w:val="0"/>
        <w:autoSpaceDN w:val="0"/>
        <w:adjustRightInd w:val="0"/>
        <w:ind w:left="-990" w:firstLine="990"/>
        <w:jc w:val="both"/>
        <w:rPr>
          <w:bCs/>
          <w:sz w:val="28"/>
          <w:szCs w:val="28"/>
        </w:rPr>
      </w:pPr>
      <w:r w:rsidRPr="006F2C5E">
        <w:rPr>
          <w:bCs/>
          <w:sz w:val="28"/>
          <w:szCs w:val="28"/>
        </w:rPr>
        <w:t>Строк виконання заходів 30 робочих днів.</w:t>
      </w:r>
    </w:p>
    <w:p w14:paraId="01310F49" w14:textId="77777777" w:rsidR="006F2C5E" w:rsidRPr="006F2C5E" w:rsidRDefault="006F2C5E" w:rsidP="006F2C5E">
      <w:pPr>
        <w:autoSpaceDE w:val="0"/>
        <w:autoSpaceDN w:val="0"/>
        <w:adjustRightInd w:val="0"/>
        <w:ind w:left="-990"/>
        <w:jc w:val="both"/>
        <w:rPr>
          <w:b/>
          <w:bCs/>
          <w:sz w:val="28"/>
          <w:szCs w:val="28"/>
        </w:rPr>
      </w:pPr>
      <w:r w:rsidRPr="006F2C5E">
        <w:rPr>
          <w:b/>
          <w:bCs/>
          <w:sz w:val="28"/>
          <w:szCs w:val="28"/>
        </w:rPr>
        <w:t xml:space="preserve"> </w:t>
      </w:r>
    </w:p>
    <w:p w14:paraId="5224095C" w14:textId="77777777" w:rsidR="006F2C5E" w:rsidRPr="00577C27" w:rsidRDefault="00577C27" w:rsidP="006F2C5E">
      <w:pPr>
        <w:autoSpaceDE w:val="0"/>
        <w:autoSpaceDN w:val="0"/>
        <w:adjustRightInd w:val="0"/>
        <w:ind w:left="-990"/>
        <w:jc w:val="both"/>
        <w:rPr>
          <w:bCs/>
          <w:sz w:val="28"/>
          <w:szCs w:val="28"/>
        </w:rPr>
      </w:pPr>
      <w:r w:rsidRPr="00577C27">
        <w:rPr>
          <w:bCs/>
          <w:sz w:val="28"/>
          <w:szCs w:val="28"/>
        </w:rPr>
        <w:t>Додаток: на ____арк</w:t>
      </w:r>
      <w:r>
        <w:rPr>
          <w:bCs/>
          <w:sz w:val="28"/>
          <w:szCs w:val="28"/>
        </w:rPr>
        <w:t xml:space="preserve">ушах </w:t>
      </w:r>
      <w:r w:rsidRPr="00577C27">
        <w:rPr>
          <w:bCs/>
          <w:sz w:val="28"/>
          <w:szCs w:val="28"/>
        </w:rPr>
        <w:t>в 1 прим.</w:t>
      </w:r>
    </w:p>
    <w:p w14:paraId="4B87DDD9" w14:textId="77777777" w:rsidR="00577C27" w:rsidRPr="006F2C5E" w:rsidRDefault="00577C27" w:rsidP="006F2C5E">
      <w:pPr>
        <w:autoSpaceDE w:val="0"/>
        <w:autoSpaceDN w:val="0"/>
        <w:adjustRightInd w:val="0"/>
        <w:ind w:left="-990"/>
        <w:jc w:val="both"/>
        <w:rPr>
          <w:b/>
          <w:bCs/>
          <w:sz w:val="28"/>
          <w:szCs w:val="28"/>
        </w:rPr>
      </w:pPr>
    </w:p>
    <w:p w14:paraId="3656A174" w14:textId="77777777" w:rsidR="00657C06" w:rsidRDefault="00657C06" w:rsidP="00036BA5">
      <w:pPr>
        <w:autoSpaceDE w:val="0"/>
        <w:autoSpaceDN w:val="0"/>
        <w:adjustRightInd w:val="0"/>
        <w:ind w:left="-990"/>
        <w:jc w:val="both"/>
        <w:rPr>
          <w:b/>
          <w:sz w:val="28"/>
          <w:szCs w:val="28"/>
        </w:rPr>
      </w:pPr>
      <w:bookmarkStart w:id="10" w:name="_Hlk502671685"/>
      <w:r w:rsidRPr="00657C06">
        <w:rPr>
          <w:b/>
          <w:sz w:val="28"/>
          <w:szCs w:val="28"/>
        </w:rPr>
        <w:t xml:space="preserve">Перший віце-прем'єр-міністр - Міністр </w:t>
      </w:r>
    </w:p>
    <w:p w14:paraId="347CADE4" w14:textId="77777777" w:rsidR="00315DD3" w:rsidRDefault="00657C06" w:rsidP="00036BA5">
      <w:pPr>
        <w:autoSpaceDE w:val="0"/>
        <w:autoSpaceDN w:val="0"/>
        <w:adjustRightInd w:val="0"/>
        <w:ind w:left="-990"/>
        <w:jc w:val="both"/>
        <w:rPr>
          <w:b/>
          <w:sz w:val="28"/>
          <w:szCs w:val="28"/>
        </w:rPr>
      </w:pPr>
      <w:r w:rsidRPr="00657C06">
        <w:rPr>
          <w:b/>
          <w:sz w:val="28"/>
          <w:szCs w:val="28"/>
        </w:rPr>
        <w:t>економічного розвитку і торгівлі України</w:t>
      </w:r>
      <w:bookmarkEnd w:id="10"/>
      <w:r>
        <w:rPr>
          <w:b/>
          <w:sz w:val="28"/>
          <w:szCs w:val="28"/>
        </w:rPr>
        <w:t xml:space="preserve">                                               </w:t>
      </w:r>
      <w:r w:rsidRPr="00657C06">
        <w:rPr>
          <w:b/>
          <w:sz w:val="28"/>
          <w:szCs w:val="28"/>
        </w:rPr>
        <w:t xml:space="preserve"> Степан Кубів</w:t>
      </w:r>
    </w:p>
    <w:p w14:paraId="2E27D9FF" w14:textId="77777777" w:rsidR="00746C6C" w:rsidRDefault="00746C6C" w:rsidP="00036BA5">
      <w:pPr>
        <w:autoSpaceDE w:val="0"/>
        <w:autoSpaceDN w:val="0"/>
        <w:adjustRightInd w:val="0"/>
        <w:ind w:left="-990"/>
        <w:jc w:val="both"/>
        <w:rPr>
          <w:sz w:val="28"/>
          <w:szCs w:val="28"/>
        </w:rPr>
      </w:pPr>
    </w:p>
    <w:p w14:paraId="49E2E121" w14:textId="77777777" w:rsidR="00746C6C" w:rsidRDefault="00746C6C" w:rsidP="00036BA5">
      <w:pPr>
        <w:autoSpaceDE w:val="0"/>
        <w:autoSpaceDN w:val="0"/>
        <w:adjustRightInd w:val="0"/>
        <w:ind w:left="-990"/>
        <w:jc w:val="both"/>
        <w:rPr>
          <w:sz w:val="28"/>
          <w:szCs w:val="28"/>
        </w:rPr>
      </w:pPr>
    </w:p>
    <w:p w14:paraId="1FE3927F" w14:textId="77777777" w:rsidR="00746C6C" w:rsidRDefault="00746C6C" w:rsidP="00036BA5">
      <w:pPr>
        <w:autoSpaceDE w:val="0"/>
        <w:autoSpaceDN w:val="0"/>
        <w:adjustRightInd w:val="0"/>
        <w:ind w:left="-990"/>
        <w:jc w:val="both"/>
        <w:rPr>
          <w:sz w:val="28"/>
          <w:szCs w:val="28"/>
        </w:rPr>
      </w:pPr>
    </w:p>
    <w:p w14:paraId="7877CE00" w14:textId="77777777" w:rsidR="00746C6C" w:rsidRDefault="00746C6C" w:rsidP="00036BA5">
      <w:pPr>
        <w:autoSpaceDE w:val="0"/>
        <w:autoSpaceDN w:val="0"/>
        <w:adjustRightInd w:val="0"/>
        <w:ind w:left="-990"/>
        <w:jc w:val="both"/>
        <w:rPr>
          <w:sz w:val="28"/>
          <w:szCs w:val="28"/>
        </w:rPr>
      </w:pPr>
    </w:p>
    <w:p w14:paraId="2726DB39" w14:textId="77777777" w:rsidR="00746C6C" w:rsidRDefault="00746C6C" w:rsidP="00036BA5">
      <w:pPr>
        <w:autoSpaceDE w:val="0"/>
        <w:autoSpaceDN w:val="0"/>
        <w:adjustRightInd w:val="0"/>
        <w:ind w:left="-990"/>
        <w:jc w:val="both"/>
        <w:rPr>
          <w:sz w:val="28"/>
          <w:szCs w:val="28"/>
        </w:rPr>
      </w:pPr>
    </w:p>
    <w:p w14:paraId="18B4F20D" w14:textId="77777777" w:rsidR="00746C6C" w:rsidRDefault="00746C6C" w:rsidP="00036BA5">
      <w:pPr>
        <w:autoSpaceDE w:val="0"/>
        <w:autoSpaceDN w:val="0"/>
        <w:adjustRightInd w:val="0"/>
        <w:ind w:left="-990"/>
        <w:jc w:val="both"/>
        <w:rPr>
          <w:sz w:val="28"/>
          <w:szCs w:val="28"/>
        </w:rPr>
      </w:pPr>
    </w:p>
    <w:p w14:paraId="70B6961D" w14:textId="77777777" w:rsidR="00746C6C" w:rsidRDefault="00746C6C" w:rsidP="00036BA5">
      <w:pPr>
        <w:autoSpaceDE w:val="0"/>
        <w:autoSpaceDN w:val="0"/>
        <w:adjustRightInd w:val="0"/>
        <w:ind w:left="-990"/>
        <w:jc w:val="both"/>
        <w:rPr>
          <w:sz w:val="28"/>
          <w:szCs w:val="28"/>
        </w:rPr>
      </w:pPr>
    </w:p>
    <w:p w14:paraId="27A9DBFC" w14:textId="77777777" w:rsidR="00746C6C" w:rsidRDefault="00746C6C" w:rsidP="00036BA5">
      <w:pPr>
        <w:autoSpaceDE w:val="0"/>
        <w:autoSpaceDN w:val="0"/>
        <w:adjustRightInd w:val="0"/>
        <w:ind w:left="-990"/>
        <w:jc w:val="both"/>
        <w:rPr>
          <w:sz w:val="28"/>
          <w:szCs w:val="28"/>
        </w:rPr>
      </w:pPr>
    </w:p>
    <w:p w14:paraId="3A69195B" w14:textId="77777777" w:rsidR="00746C6C" w:rsidRDefault="00746C6C" w:rsidP="00036BA5">
      <w:pPr>
        <w:autoSpaceDE w:val="0"/>
        <w:autoSpaceDN w:val="0"/>
        <w:adjustRightInd w:val="0"/>
        <w:ind w:left="-990"/>
        <w:jc w:val="both"/>
        <w:rPr>
          <w:sz w:val="28"/>
          <w:szCs w:val="28"/>
        </w:rPr>
      </w:pPr>
    </w:p>
    <w:p w14:paraId="6CFE847C" w14:textId="77777777" w:rsidR="00746C6C" w:rsidRDefault="00746C6C" w:rsidP="00036BA5">
      <w:pPr>
        <w:autoSpaceDE w:val="0"/>
        <w:autoSpaceDN w:val="0"/>
        <w:adjustRightInd w:val="0"/>
        <w:ind w:left="-990"/>
        <w:jc w:val="both"/>
        <w:rPr>
          <w:sz w:val="28"/>
          <w:szCs w:val="28"/>
        </w:rPr>
      </w:pPr>
    </w:p>
    <w:p w14:paraId="7B2D6D5F" w14:textId="77777777" w:rsidR="00746C6C" w:rsidRDefault="00746C6C" w:rsidP="00036BA5">
      <w:pPr>
        <w:autoSpaceDE w:val="0"/>
        <w:autoSpaceDN w:val="0"/>
        <w:adjustRightInd w:val="0"/>
        <w:ind w:left="-990"/>
        <w:jc w:val="both"/>
        <w:rPr>
          <w:sz w:val="28"/>
          <w:szCs w:val="28"/>
        </w:rPr>
      </w:pPr>
    </w:p>
    <w:p w14:paraId="18C9DE1C" w14:textId="77777777" w:rsidR="00746C6C" w:rsidRDefault="00746C6C" w:rsidP="00036BA5">
      <w:pPr>
        <w:autoSpaceDE w:val="0"/>
        <w:autoSpaceDN w:val="0"/>
        <w:adjustRightInd w:val="0"/>
        <w:ind w:left="-990"/>
        <w:jc w:val="both"/>
        <w:rPr>
          <w:sz w:val="28"/>
          <w:szCs w:val="28"/>
        </w:rPr>
      </w:pPr>
    </w:p>
    <w:p w14:paraId="135A90BF" w14:textId="77777777" w:rsidR="00746C6C" w:rsidRDefault="00746C6C" w:rsidP="00036BA5">
      <w:pPr>
        <w:autoSpaceDE w:val="0"/>
        <w:autoSpaceDN w:val="0"/>
        <w:adjustRightInd w:val="0"/>
        <w:ind w:left="-990"/>
        <w:jc w:val="both"/>
        <w:rPr>
          <w:sz w:val="28"/>
          <w:szCs w:val="28"/>
        </w:rPr>
      </w:pPr>
    </w:p>
    <w:p w14:paraId="146FA82F" w14:textId="77777777" w:rsidR="00746C6C" w:rsidRDefault="00746C6C" w:rsidP="00036BA5">
      <w:pPr>
        <w:autoSpaceDE w:val="0"/>
        <w:autoSpaceDN w:val="0"/>
        <w:adjustRightInd w:val="0"/>
        <w:ind w:left="-990"/>
        <w:jc w:val="both"/>
        <w:rPr>
          <w:sz w:val="28"/>
          <w:szCs w:val="28"/>
        </w:rPr>
      </w:pPr>
    </w:p>
    <w:p w14:paraId="1A93E0C7" w14:textId="77777777" w:rsidR="00746C6C" w:rsidRDefault="00746C6C" w:rsidP="00036BA5">
      <w:pPr>
        <w:autoSpaceDE w:val="0"/>
        <w:autoSpaceDN w:val="0"/>
        <w:adjustRightInd w:val="0"/>
        <w:ind w:left="-990"/>
        <w:jc w:val="both"/>
        <w:rPr>
          <w:sz w:val="28"/>
          <w:szCs w:val="28"/>
        </w:rPr>
      </w:pPr>
    </w:p>
    <w:p w14:paraId="3622F3A2" w14:textId="77777777" w:rsidR="00746C6C" w:rsidRDefault="00746C6C" w:rsidP="00036BA5">
      <w:pPr>
        <w:autoSpaceDE w:val="0"/>
        <w:autoSpaceDN w:val="0"/>
        <w:adjustRightInd w:val="0"/>
        <w:ind w:left="-990"/>
        <w:jc w:val="both"/>
        <w:rPr>
          <w:sz w:val="28"/>
          <w:szCs w:val="28"/>
        </w:rPr>
      </w:pPr>
    </w:p>
    <w:p w14:paraId="75E9504F" w14:textId="77777777" w:rsidR="00746C6C" w:rsidRDefault="00746C6C" w:rsidP="00036BA5">
      <w:pPr>
        <w:autoSpaceDE w:val="0"/>
        <w:autoSpaceDN w:val="0"/>
        <w:adjustRightInd w:val="0"/>
        <w:ind w:left="-990"/>
        <w:jc w:val="both"/>
        <w:rPr>
          <w:sz w:val="28"/>
          <w:szCs w:val="28"/>
        </w:rPr>
      </w:pPr>
    </w:p>
    <w:p w14:paraId="12BAEB53" w14:textId="77777777" w:rsidR="00746C6C" w:rsidRDefault="00746C6C" w:rsidP="00036BA5">
      <w:pPr>
        <w:autoSpaceDE w:val="0"/>
        <w:autoSpaceDN w:val="0"/>
        <w:adjustRightInd w:val="0"/>
        <w:ind w:left="-990"/>
        <w:jc w:val="both"/>
        <w:rPr>
          <w:sz w:val="28"/>
          <w:szCs w:val="28"/>
        </w:rPr>
      </w:pPr>
    </w:p>
    <w:p w14:paraId="27E2961C" w14:textId="77777777" w:rsidR="00746C6C" w:rsidRDefault="00746C6C" w:rsidP="00036BA5">
      <w:pPr>
        <w:autoSpaceDE w:val="0"/>
        <w:autoSpaceDN w:val="0"/>
        <w:adjustRightInd w:val="0"/>
        <w:ind w:left="-990"/>
        <w:jc w:val="both"/>
        <w:rPr>
          <w:sz w:val="28"/>
          <w:szCs w:val="28"/>
        </w:rPr>
      </w:pPr>
    </w:p>
    <w:p w14:paraId="3AA58A89" w14:textId="77777777" w:rsidR="00746C6C" w:rsidRDefault="00746C6C" w:rsidP="00036BA5">
      <w:pPr>
        <w:autoSpaceDE w:val="0"/>
        <w:autoSpaceDN w:val="0"/>
        <w:adjustRightInd w:val="0"/>
        <w:ind w:left="-990"/>
        <w:jc w:val="both"/>
        <w:rPr>
          <w:sz w:val="28"/>
          <w:szCs w:val="28"/>
        </w:rPr>
      </w:pPr>
    </w:p>
    <w:p w14:paraId="7BC085DA" w14:textId="77777777" w:rsidR="00746C6C" w:rsidRDefault="00746C6C" w:rsidP="00036BA5">
      <w:pPr>
        <w:autoSpaceDE w:val="0"/>
        <w:autoSpaceDN w:val="0"/>
        <w:adjustRightInd w:val="0"/>
        <w:ind w:left="-990"/>
        <w:jc w:val="both"/>
        <w:rPr>
          <w:sz w:val="28"/>
          <w:szCs w:val="28"/>
        </w:rPr>
      </w:pPr>
    </w:p>
    <w:p w14:paraId="23DC0577" w14:textId="77777777" w:rsidR="00894C35" w:rsidRPr="00C7561B" w:rsidRDefault="00894C35" w:rsidP="00036BA5">
      <w:pPr>
        <w:autoSpaceDE w:val="0"/>
        <w:autoSpaceDN w:val="0"/>
        <w:adjustRightInd w:val="0"/>
        <w:ind w:left="-990"/>
        <w:jc w:val="both"/>
        <w:rPr>
          <w:sz w:val="28"/>
          <w:szCs w:val="28"/>
        </w:rPr>
      </w:pPr>
    </w:p>
    <w:p w14:paraId="4ACA7714" w14:textId="77777777" w:rsidR="00746C6C" w:rsidRPr="00746C6C" w:rsidRDefault="00746C6C" w:rsidP="00746C6C">
      <w:pPr>
        <w:jc w:val="both"/>
        <w:outlineLvl w:val="0"/>
        <w:rPr>
          <w:rFonts w:eastAsia="Calibri"/>
          <w:b/>
          <w:sz w:val="28"/>
          <w:szCs w:val="28"/>
          <w:shd w:val="clear" w:color="auto" w:fill="FFFFFF"/>
          <w:lang w:eastAsia="en-US"/>
        </w:rPr>
      </w:pPr>
      <w:r w:rsidRPr="00746C6C">
        <w:rPr>
          <w:rFonts w:eastAsia="Calibri"/>
          <w:b/>
          <w:sz w:val="28"/>
          <w:szCs w:val="28"/>
          <w:shd w:val="clear" w:color="auto" w:fill="FFFFFF"/>
          <w:lang w:eastAsia="en-US"/>
        </w:rPr>
        <w:t xml:space="preserve">Додаток </w:t>
      </w:r>
    </w:p>
    <w:p w14:paraId="544713BB" w14:textId="77777777" w:rsidR="00746C6C" w:rsidRPr="00746C6C" w:rsidRDefault="00746C6C" w:rsidP="00746C6C">
      <w:pPr>
        <w:jc w:val="both"/>
        <w:outlineLvl w:val="0"/>
        <w:rPr>
          <w:rFonts w:eastAsia="Calibri"/>
          <w:b/>
          <w:sz w:val="28"/>
          <w:szCs w:val="28"/>
          <w:shd w:val="clear" w:color="auto" w:fill="FFFFFF"/>
          <w:lang w:eastAsia="en-US"/>
        </w:rPr>
      </w:pPr>
      <w:r w:rsidRPr="00746C6C">
        <w:rPr>
          <w:rFonts w:eastAsia="Calibri"/>
          <w:b/>
          <w:sz w:val="28"/>
          <w:szCs w:val="28"/>
          <w:shd w:val="clear" w:color="auto" w:fill="FFFFFF"/>
          <w:lang w:eastAsia="en-US"/>
        </w:rPr>
        <w:t>ВИТРАТИ</w:t>
      </w:r>
    </w:p>
    <w:p w14:paraId="45CCC221" w14:textId="77777777" w:rsidR="00746C6C" w:rsidRPr="00746C6C" w:rsidRDefault="00746C6C" w:rsidP="00746C6C">
      <w:pPr>
        <w:jc w:val="both"/>
        <w:outlineLvl w:val="0"/>
        <w:rPr>
          <w:rFonts w:eastAsia="Calibri"/>
          <w:b/>
          <w:sz w:val="28"/>
          <w:szCs w:val="28"/>
          <w:shd w:val="clear" w:color="auto" w:fill="FFFFFF"/>
          <w:lang w:eastAsia="en-US"/>
        </w:rPr>
      </w:pPr>
      <w:r w:rsidRPr="00746C6C">
        <w:rPr>
          <w:rFonts w:eastAsia="Calibri"/>
          <w:b/>
          <w:sz w:val="28"/>
          <w:szCs w:val="28"/>
          <w:shd w:val="clear" w:color="auto" w:fill="FFFFFF"/>
          <w:lang w:eastAsia="en-US"/>
        </w:rPr>
        <w:t>на одного суб’єкта господарювання великого та середнього підприємництва, які виникають внаслідок дії регуляторного акта</w:t>
      </w:r>
    </w:p>
    <w:p w14:paraId="5B40339E" w14:textId="77777777" w:rsidR="00746C6C" w:rsidRPr="00746C6C" w:rsidRDefault="00746C6C" w:rsidP="00746C6C">
      <w:pPr>
        <w:jc w:val="both"/>
        <w:outlineLvl w:val="0"/>
        <w:rPr>
          <w:rFonts w:eastAsia="Calibri"/>
          <w:sz w:val="28"/>
          <w:szCs w:val="28"/>
          <w:shd w:val="clear" w:color="auto" w:fill="FFFFFF"/>
          <w:lang w:eastAsia="en-US"/>
        </w:rPr>
      </w:pPr>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4526"/>
        <w:gridCol w:w="1608"/>
        <w:gridCol w:w="1608"/>
        <w:gridCol w:w="1597"/>
      </w:tblGrid>
      <w:tr w:rsidR="00746C6C" w:rsidRPr="00746C6C" w14:paraId="1C2DA7E1" w14:textId="77777777" w:rsidTr="00746C6C">
        <w:trPr>
          <w:trHeight w:val="20"/>
        </w:trPr>
        <w:tc>
          <w:tcPr>
            <w:tcW w:w="2423" w:type="pct"/>
            <w:tcBorders>
              <w:top w:val="outset" w:sz="6" w:space="0" w:color="000000"/>
              <w:left w:val="outset" w:sz="6" w:space="0" w:color="000000"/>
              <w:bottom w:val="outset" w:sz="6" w:space="0" w:color="000000"/>
              <w:right w:val="outset" w:sz="6" w:space="0" w:color="000000"/>
            </w:tcBorders>
            <w:vAlign w:val="center"/>
          </w:tcPr>
          <w:p w14:paraId="4909271D" w14:textId="77777777" w:rsidR="00746C6C" w:rsidRPr="00746C6C" w:rsidRDefault="00746C6C" w:rsidP="00746C6C">
            <w:pPr>
              <w:jc w:val="both"/>
              <w:outlineLvl w:val="0"/>
              <w:rPr>
                <w:rFonts w:eastAsia="Calibri"/>
                <w:sz w:val="28"/>
                <w:szCs w:val="28"/>
                <w:shd w:val="clear" w:color="auto" w:fill="FFFFFF"/>
                <w:lang w:eastAsia="en-US"/>
              </w:rPr>
            </w:pPr>
            <w:bookmarkStart w:id="11" w:name="n180"/>
            <w:bookmarkEnd w:id="11"/>
            <w:r w:rsidRPr="00746C6C">
              <w:rPr>
                <w:rFonts w:eastAsia="Calibri"/>
                <w:sz w:val="28"/>
                <w:szCs w:val="28"/>
                <w:shd w:val="clear" w:color="auto" w:fill="FFFFFF"/>
                <w:lang w:eastAsia="en-US"/>
              </w:rPr>
              <w:t>Вид витрат</w:t>
            </w:r>
          </w:p>
        </w:tc>
        <w:tc>
          <w:tcPr>
            <w:tcW w:w="861" w:type="pct"/>
            <w:tcBorders>
              <w:top w:val="outset" w:sz="6" w:space="0" w:color="000000"/>
              <w:left w:val="outset" w:sz="6" w:space="0" w:color="000000"/>
              <w:bottom w:val="outset" w:sz="6" w:space="0" w:color="000000"/>
              <w:right w:val="outset" w:sz="6" w:space="0" w:color="000000"/>
            </w:tcBorders>
            <w:vAlign w:val="center"/>
          </w:tcPr>
          <w:p w14:paraId="7F2E60E4"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У перший рік</w:t>
            </w:r>
          </w:p>
        </w:tc>
        <w:tc>
          <w:tcPr>
            <w:tcW w:w="861" w:type="pct"/>
            <w:tcBorders>
              <w:top w:val="outset" w:sz="6" w:space="0" w:color="000000"/>
              <w:left w:val="outset" w:sz="6" w:space="0" w:color="000000"/>
              <w:bottom w:val="outset" w:sz="6" w:space="0" w:color="000000"/>
              <w:right w:val="outset" w:sz="6" w:space="0" w:color="000000"/>
            </w:tcBorders>
            <w:vAlign w:val="center"/>
          </w:tcPr>
          <w:p w14:paraId="31481778"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Періодичні (за рік)</w:t>
            </w:r>
          </w:p>
        </w:tc>
        <w:tc>
          <w:tcPr>
            <w:tcW w:w="855" w:type="pct"/>
            <w:tcBorders>
              <w:top w:val="outset" w:sz="6" w:space="0" w:color="000000"/>
              <w:left w:val="outset" w:sz="6" w:space="0" w:color="000000"/>
              <w:bottom w:val="outset" w:sz="6" w:space="0" w:color="000000"/>
              <w:right w:val="outset" w:sz="6" w:space="0" w:color="000000"/>
            </w:tcBorders>
            <w:vAlign w:val="center"/>
          </w:tcPr>
          <w:p w14:paraId="35B92E30"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за п’ять років</w:t>
            </w:r>
          </w:p>
        </w:tc>
      </w:tr>
      <w:tr w:rsidR="00746C6C" w:rsidRPr="00746C6C" w14:paraId="4F52290F" w14:textId="77777777" w:rsidTr="00746C6C">
        <w:trPr>
          <w:trHeight w:val="5628"/>
        </w:trPr>
        <w:tc>
          <w:tcPr>
            <w:tcW w:w="2423" w:type="pct"/>
            <w:tcBorders>
              <w:top w:val="outset" w:sz="6" w:space="0" w:color="000000"/>
              <w:left w:val="outset" w:sz="6" w:space="0" w:color="000000"/>
              <w:bottom w:val="outset" w:sz="6" w:space="0" w:color="000000"/>
              <w:right w:val="outset" w:sz="6" w:space="0" w:color="000000"/>
            </w:tcBorders>
          </w:tcPr>
          <w:p w14:paraId="1E8E1E4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lastRenderedPageBreak/>
              <w:t>Процедури отримання первинної інформації про вимоги регулювання</w:t>
            </w:r>
          </w:p>
          <w:p w14:paraId="4D2D7FAF" w14:textId="77777777" w:rsidR="00746C6C" w:rsidRPr="00746C6C" w:rsidRDefault="00746C6C" w:rsidP="00746C6C">
            <w:pPr>
              <w:jc w:val="both"/>
              <w:outlineLvl w:val="0"/>
              <w:rPr>
                <w:rFonts w:eastAsia="Calibri"/>
                <w:sz w:val="28"/>
                <w:szCs w:val="28"/>
                <w:shd w:val="clear" w:color="auto" w:fill="FFFFFF"/>
                <w:lang w:eastAsia="en-US"/>
              </w:rPr>
            </w:pPr>
          </w:p>
        </w:tc>
        <w:tc>
          <w:tcPr>
            <w:tcW w:w="861" w:type="pct"/>
            <w:tcBorders>
              <w:top w:val="outset" w:sz="6" w:space="0" w:color="000000"/>
              <w:left w:val="outset" w:sz="6" w:space="0" w:color="000000"/>
              <w:bottom w:val="outset" w:sz="6" w:space="0" w:color="000000"/>
              <w:right w:val="outset" w:sz="6" w:space="0" w:color="000000"/>
            </w:tcBorders>
          </w:tcPr>
          <w:p w14:paraId="6588453F" w14:textId="77777777" w:rsidR="00746C6C" w:rsidRPr="00746C6C" w:rsidRDefault="00746C6C" w:rsidP="00746C6C">
            <w:pPr>
              <w:jc w:val="both"/>
              <w:outlineLvl w:val="0"/>
              <w:rPr>
                <w:rFonts w:eastAsia="Calibri"/>
                <w:sz w:val="28"/>
                <w:szCs w:val="28"/>
                <w:shd w:val="clear" w:color="auto" w:fill="FFFFFF"/>
                <w:lang w:eastAsia="en-US"/>
              </w:rPr>
            </w:pPr>
          </w:p>
          <w:p w14:paraId="37D57893"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3 год. (час, який витрачається с/г на пошук нормативно-правового акту в мережі  Інтернет та ознайомлення з ним; за результатами консультацій)</w:t>
            </w:r>
            <w:r w:rsidRPr="00746C6C">
              <w:rPr>
                <w:rFonts w:eastAsia="Calibri"/>
                <w:sz w:val="28"/>
                <w:szCs w:val="28"/>
                <w:shd w:val="clear" w:color="auto" w:fill="FFFFFF"/>
                <w:vertAlign w:val="superscript"/>
                <w:lang w:eastAsia="en-US"/>
              </w:rPr>
              <w:t>4</w:t>
            </w:r>
            <w:r w:rsidRPr="00746C6C">
              <w:rPr>
                <w:rFonts w:eastAsia="Calibri"/>
                <w:sz w:val="28"/>
                <w:szCs w:val="28"/>
                <w:shd w:val="clear" w:color="auto" w:fill="FFFFFF"/>
                <w:lang w:val="ru-RU" w:eastAsia="en-US"/>
              </w:rPr>
              <w:t xml:space="preserve"> </w:t>
            </w:r>
            <w:r w:rsidRPr="00746C6C">
              <w:rPr>
                <w:rFonts w:eastAsia="Calibri"/>
                <w:sz w:val="28"/>
                <w:szCs w:val="28"/>
                <w:shd w:val="clear" w:color="auto" w:fill="FFFFFF"/>
                <w:lang w:eastAsia="en-US"/>
              </w:rPr>
              <w:t xml:space="preserve">Х </w:t>
            </w:r>
            <w:r w:rsidR="00FD608C">
              <w:rPr>
                <w:rFonts w:eastAsia="Calibri"/>
                <w:sz w:val="28"/>
                <w:szCs w:val="28"/>
                <w:shd w:val="clear" w:color="auto" w:fill="FFFFFF"/>
                <w:lang w:val="ru-RU" w:eastAsia="en-US"/>
              </w:rPr>
              <w:t>22,41</w:t>
            </w:r>
            <w:r w:rsidRPr="00746C6C">
              <w:rPr>
                <w:rFonts w:eastAsia="Calibri"/>
                <w:sz w:val="28"/>
                <w:szCs w:val="28"/>
                <w:shd w:val="clear" w:color="auto" w:fill="FFFFFF"/>
                <w:lang w:eastAsia="en-US"/>
              </w:rPr>
              <w:t xml:space="preserve"> грн. = </w:t>
            </w:r>
          </w:p>
          <w:p w14:paraId="137F6E74" w14:textId="77777777" w:rsidR="00746C6C" w:rsidRPr="00746C6C" w:rsidRDefault="00FD608C" w:rsidP="00746C6C">
            <w:pPr>
              <w:jc w:val="both"/>
              <w:outlineLvl w:val="0"/>
              <w:rPr>
                <w:rFonts w:eastAsia="Calibri"/>
                <w:sz w:val="28"/>
                <w:szCs w:val="28"/>
                <w:shd w:val="clear" w:color="auto" w:fill="FFFFFF"/>
                <w:lang w:eastAsia="en-US"/>
              </w:rPr>
            </w:pPr>
            <w:r>
              <w:rPr>
                <w:rFonts w:eastAsia="Calibri"/>
                <w:b/>
                <w:sz w:val="28"/>
                <w:szCs w:val="28"/>
                <w:shd w:val="clear" w:color="auto" w:fill="FFFFFF"/>
                <w:lang w:val="ru-RU" w:eastAsia="en-US"/>
              </w:rPr>
              <w:t>66,23</w:t>
            </w:r>
            <w:r w:rsidR="00746C6C" w:rsidRPr="00746C6C">
              <w:rPr>
                <w:rFonts w:eastAsia="Calibri"/>
                <w:b/>
                <w:sz w:val="28"/>
                <w:szCs w:val="28"/>
                <w:shd w:val="clear" w:color="auto" w:fill="FFFFFF"/>
                <w:lang w:eastAsia="en-US"/>
              </w:rPr>
              <w:t xml:space="preserve"> грн.</w:t>
            </w:r>
          </w:p>
          <w:p w14:paraId="1ABD23D2" w14:textId="77777777" w:rsidR="00746C6C" w:rsidRPr="00746C6C" w:rsidRDefault="00746C6C" w:rsidP="00746C6C">
            <w:pPr>
              <w:jc w:val="both"/>
              <w:outlineLvl w:val="0"/>
              <w:rPr>
                <w:rFonts w:eastAsia="Calibri"/>
                <w:sz w:val="28"/>
                <w:szCs w:val="28"/>
                <w:shd w:val="clear" w:color="auto" w:fill="FFFFFF"/>
                <w:lang w:eastAsia="en-US"/>
              </w:rPr>
            </w:pPr>
          </w:p>
          <w:p w14:paraId="6513F44C" w14:textId="77777777" w:rsidR="00746C6C" w:rsidRPr="00746C6C" w:rsidRDefault="00746C6C" w:rsidP="00746C6C">
            <w:pPr>
              <w:jc w:val="both"/>
              <w:outlineLvl w:val="0"/>
              <w:rPr>
                <w:rFonts w:eastAsia="Calibri"/>
                <w:sz w:val="28"/>
                <w:szCs w:val="28"/>
                <w:shd w:val="clear" w:color="auto" w:fill="FFFFFF"/>
                <w:lang w:eastAsia="en-US"/>
              </w:rPr>
            </w:pPr>
          </w:p>
        </w:tc>
        <w:tc>
          <w:tcPr>
            <w:tcW w:w="861" w:type="pct"/>
            <w:tcBorders>
              <w:top w:val="outset" w:sz="6" w:space="0" w:color="000000"/>
              <w:left w:val="outset" w:sz="6" w:space="0" w:color="000000"/>
              <w:bottom w:val="outset" w:sz="6" w:space="0" w:color="000000"/>
              <w:right w:val="outset" w:sz="6" w:space="0" w:color="000000"/>
            </w:tcBorders>
          </w:tcPr>
          <w:p w14:paraId="498FEC9D"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0.00грн</w:t>
            </w:r>
          </w:p>
          <w:p w14:paraId="3175172E"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(припущено, що суб’єкт повинен виконувати вимоги регулювання лише в перший рік; за результатами консультацій)</w:t>
            </w:r>
          </w:p>
        </w:tc>
        <w:tc>
          <w:tcPr>
            <w:tcW w:w="855" w:type="pct"/>
            <w:tcBorders>
              <w:top w:val="outset" w:sz="6" w:space="0" w:color="000000"/>
              <w:left w:val="outset" w:sz="6" w:space="0" w:color="000000"/>
              <w:bottom w:val="outset" w:sz="6" w:space="0" w:color="000000"/>
              <w:right w:val="outset" w:sz="6" w:space="0" w:color="000000"/>
            </w:tcBorders>
          </w:tcPr>
          <w:p w14:paraId="740718DF" w14:textId="77777777" w:rsidR="00746C6C" w:rsidRPr="00746C6C" w:rsidRDefault="00FD608C" w:rsidP="00746C6C">
            <w:pPr>
              <w:jc w:val="both"/>
              <w:outlineLvl w:val="0"/>
              <w:rPr>
                <w:rFonts w:eastAsia="Calibri"/>
                <w:sz w:val="28"/>
                <w:szCs w:val="28"/>
                <w:shd w:val="clear" w:color="auto" w:fill="FFFFFF"/>
                <w:lang w:eastAsia="en-US"/>
              </w:rPr>
            </w:pPr>
            <w:r>
              <w:rPr>
                <w:rFonts w:eastAsia="Calibri"/>
                <w:sz w:val="28"/>
                <w:szCs w:val="28"/>
                <w:shd w:val="clear" w:color="auto" w:fill="FFFFFF"/>
                <w:lang w:val="ru-RU" w:eastAsia="en-US"/>
              </w:rPr>
              <w:t>66,23</w:t>
            </w:r>
            <w:r w:rsidR="00746C6C" w:rsidRPr="00746C6C">
              <w:rPr>
                <w:rFonts w:eastAsia="Calibri"/>
                <w:sz w:val="28"/>
                <w:szCs w:val="28"/>
                <w:shd w:val="clear" w:color="auto" w:fill="FFFFFF"/>
                <w:lang w:eastAsia="en-US"/>
              </w:rPr>
              <w:t>грн.</w:t>
            </w:r>
          </w:p>
        </w:tc>
      </w:tr>
      <w:tr w:rsidR="00746C6C" w:rsidRPr="00746C6C" w14:paraId="3CE6032B" w14:textId="77777777" w:rsidTr="00746C6C">
        <w:trPr>
          <w:trHeight w:val="20"/>
        </w:trPr>
        <w:tc>
          <w:tcPr>
            <w:tcW w:w="2423" w:type="pct"/>
            <w:tcBorders>
              <w:top w:val="outset" w:sz="6" w:space="0" w:color="000000"/>
              <w:left w:val="outset" w:sz="6" w:space="0" w:color="000000"/>
              <w:bottom w:val="outset" w:sz="6" w:space="0" w:color="000000"/>
              <w:right w:val="outset" w:sz="6" w:space="0" w:color="000000"/>
            </w:tcBorders>
          </w:tcPr>
          <w:p w14:paraId="1DFDFCA4"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Процедури організації виконання вимог регулювання</w:t>
            </w:r>
          </w:p>
          <w:p w14:paraId="33D1F167" w14:textId="77777777" w:rsidR="00746C6C" w:rsidRPr="00746C6C" w:rsidRDefault="00746C6C" w:rsidP="00746C6C">
            <w:pPr>
              <w:jc w:val="both"/>
              <w:outlineLvl w:val="0"/>
              <w:rPr>
                <w:rFonts w:eastAsia="Calibri"/>
                <w:sz w:val="28"/>
                <w:szCs w:val="28"/>
                <w:shd w:val="clear" w:color="auto" w:fill="FFFFFF"/>
                <w:lang w:eastAsia="en-US"/>
              </w:rPr>
            </w:pPr>
          </w:p>
        </w:tc>
        <w:tc>
          <w:tcPr>
            <w:tcW w:w="861" w:type="pct"/>
            <w:tcBorders>
              <w:top w:val="outset" w:sz="6" w:space="0" w:color="000000"/>
              <w:left w:val="outset" w:sz="6" w:space="0" w:color="000000"/>
              <w:bottom w:val="outset" w:sz="6" w:space="0" w:color="000000"/>
              <w:right w:val="outset" w:sz="6" w:space="0" w:color="000000"/>
            </w:tcBorders>
          </w:tcPr>
          <w:p w14:paraId="1826BD62" w14:textId="77777777" w:rsidR="00746C6C" w:rsidRPr="00746C6C" w:rsidRDefault="00746C6C" w:rsidP="00746C6C">
            <w:pPr>
              <w:jc w:val="both"/>
              <w:outlineLvl w:val="0"/>
              <w:rPr>
                <w:rFonts w:eastAsia="Calibri"/>
                <w:b/>
                <w:sz w:val="28"/>
                <w:szCs w:val="28"/>
                <w:shd w:val="clear" w:color="auto" w:fill="FFFFFF"/>
                <w:lang w:eastAsia="en-US"/>
              </w:rPr>
            </w:pPr>
            <w:r w:rsidRPr="00746C6C">
              <w:rPr>
                <w:rFonts w:eastAsia="Calibri"/>
                <w:sz w:val="28"/>
                <w:szCs w:val="28"/>
                <w:shd w:val="clear" w:color="auto" w:fill="FFFFFF"/>
                <w:lang w:eastAsia="en-US"/>
              </w:rPr>
              <w:t xml:space="preserve">8 год. (час, необхідний на розроблення та впровадження внутрішніх процедур (за результатами консультацій)) Х </w:t>
            </w:r>
            <w:r w:rsidR="00FD608C">
              <w:rPr>
                <w:rFonts w:eastAsia="Calibri"/>
                <w:sz w:val="28"/>
                <w:szCs w:val="28"/>
                <w:shd w:val="clear" w:color="auto" w:fill="FFFFFF"/>
                <w:lang w:val="ru-RU" w:eastAsia="en-US"/>
              </w:rPr>
              <w:t>22,41</w:t>
            </w:r>
            <w:r w:rsidRPr="00746C6C">
              <w:rPr>
                <w:rFonts w:eastAsia="Calibri"/>
                <w:sz w:val="28"/>
                <w:szCs w:val="28"/>
                <w:shd w:val="clear" w:color="auto" w:fill="FFFFFF"/>
                <w:lang w:eastAsia="en-US"/>
              </w:rPr>
              <w:t xml:space="preserve"> грн. Х 1 процедура(прийняття наказу по підприємству)=         </w:t>
            </w:r>
            <w:r w:rsidRPr="00746C6C">
              <w:rPr>
                <w:rFonts w:eastAsia="Calibri"/>
                <w:b/>
                <w:sz w:val="28"/>
                <w:szCs w:val="28"/>
                <w:shd w:val="clear" w:color="auto" w:fill="FFFFFF"/>
                <w:lang w:eastAsia="en-US"/>
              </w:rPr>
              <w:t xml:space="preserve"> </w:t>
            </w:r>
            <w:r w:rsidR="00FD608C">
              <w:rPr>
                <w:rFonts w:eastAsia="Calibri"/>
                <w:b/>
                <w:sz w:val="28"/>
                <w:szCs w:val="28"/>
                <w:shd w:val="clear" w:color="auto" w:fill="FFFFFF"/>
                <w:lang w:val="ru-RU" w:eastAsia="en-US"/>
              </w:rPr>
              <w:t>179,28</w:t>
            </w:r>
            <w:r w:rsidRPr="00746C6C">
              <w:rPr>
                <w:rFonts w:eastAsia="Calibri"/>
                <w:b/>
                <w:sz w:val="28"/>
                <w:szCs w:val="28"/>
                <w:shd w:val="clear" w:color="auto" w:fill="FFFFFF"/>
                <w:lang w:eastAsia="en-US"/>
              </w:rPr>
              <w:t xml:space="preserve"> грн.</w:t>
            </w:r>
          </w:p>
          <w:p w14:paraId="213C1E96" w14:textId="77777777" w:rsidR="00746C6C" w:rsidRPr="00746C6C" w:rsidRDefault="00746C6C" w:rsidP="00746C6C">
            <w:pPr>
              <w:jc w:val="both"/>
              <w:outlineLvl w:val="0"/>
              <w:rPr>
                <w:rFonts w:eastAsia="Calibri"/>
                <w:sz w:val="28"/>
                <w:szCs w:val="28"/>
                <w:shd w:val="clear" w:color="auto" w:fill="FFFFFF"/>
                <w:lang w:eastAsia="en-US"/>
              </w:rPr>
            </w:pPr>
          </w:p>
        </w:tc>
        <w:tc>
          <w:tcPr>
            <w:tcW w:w="861" w:type="pct"/>
            <w:shd w:val="clear" w:color="auto" w:fill="auto"/>
          </w:tcPr>
          <w:p w14:paraId="1A6E2CF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0.00грн</w:t>
            </w:r>
          </w:p>
          <w:p w14:paraId="0FC0F793"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(припущено, що суб’єкт повинен виконувати вимоги регулювання лише в перший рік; за результатами консультацій)</w:t>
            </w:r>
          </w:p>
        </w:tc>
        <w:tc>
          <w:tcPr>
            <w:tcW w:w="855" w:type="pct"/>
            <w:tcBorders>
              <w:top w:val="outset" w:sz="6" w:space="0" w:color="000000"/>
              <w:left w:val="outset" w:sz="6" w:space="0" w:color="000000"/>
              <w:bottom w:val="outset" w:sz="6" w:space="0" w:color="000000"/>
              <w:right w:val="outset" w:sz="6" w:space="0" w:color="000000"/>
            </w:tcBorders>
          </w:tcPr>
          <w:p w14:paraId="78E67A12" w14:textId="77777777" w:rsidR="00746C6C" w:rsidRPr="00746C6C" w:rsidRDefault="00FD608C" w:rsidP="00746C6C">
            <w:pPr>
              <w:jc w:val="both"/>
              <w:outlineLvl w:val="0"/>
              <w:rPr>
                <w:rFonts w:eastAsia="Calibri"/>
                <w:sz w:val="28"/>
                <w:szCs w:val="28"/>
                <w:shd w:val="clear" w:color="auto" w:fill="FFFFFF"/>
                <w:lang w:eastAsia="en-US"/>
              </w:rPr>
            </w:pPr>
            <w:r>
              <w:rPr>
                <w:rFonts w:eastAsia="Calibri"/>
                <w:sz w:val="28"/>
                <w:szCs w:val="28"/>
                <w:shd w:val="clear" w:color="auto" w:fill="FFFFFF"/>
                <w:lang w:val="ru-RU" w:eastAsia="en-US"/>
              </w:rPr>
              <w:t>179,28</w:t>
            </w:r>
            <w:r w:rsidR="00746C6C" w:rsidRPr="00746C6C">
              <w:rPr>
                <w:rFonts w:eastAsia="Calibri"/>
                <w:sz w:val="28"/>
                <w:szCs w:val="28"/>
                <w:shd w:val="clear" w:color="auto" w:fill="FFFFFF"/>
                <w:lang w:eastAsia="en-US"/>
              </w:rPr>
              <w:t>грн.</w:t>
            </w:r>
          </w:p>
        </w:tc>
      </w:tr>
      <w:tr w:rsidR="00746C6C" w:rsidRPr="00746C6C" w14:paraId="3DCC129B" w14:textId="77777777" w:rsidTr="00746C6C">
        <w:trPr>
          <w:trHeight w:val="20"/>
        </w:trPr>
        <w:tc>
          <w:tcPr>
            <w:tcW w:w="2423" w:type="pct"/>
            <w:tcBorders>
              <w:top w:val="outset" w:sz="6" w:space="0" w:color="000000"/>
              <w:left w:val="outset" w:sz="6" w:space="0" w:color="000000"/>
              <w:bottom w:val="outset" w:sz="6" w:space="0" w:color="000000"/>
              <w:right w:val="outset" w:sz="6" w:space="0" w:color="000000"/>
            </w:tcBorders>
          </w:tcPr>
          <w:p w14:paraId="5F14618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Разом, грн</w:t>
            </w:r>
          </w:p>
        </w:tc>
        <w:tc>
          <w:tcPr>
            <w:tcW w:w="861" w:type="pct"/>
            <w:tcBorders>
              <w:top w:val="outset" w:sz="6" w:space="0" w:color="000000"/>
              <w:left w:val="outset" w:sz="6" w:space="0" w:color="000000"/>
              <w:bottom w:val="outset" w:sz="6" w:space="0" w:color="000000"/>
              <w:right w:val="outset" w:sz="6" w:space="0" w:color="000000"/>
            </w:tcBorders>
          </w:tcPr>
          <w:p w14:paraId="2BEF9C18" w14:textId="77777777" w:rsidR="00746C6C" w:rsidRPr="00746C6C" w:rsidRDefault="00FD608C" w:rsidP="00746C6C">
            <w:pPr>
              <w:jc w:val="both"/>
              <w:outlineLvl w:val="0"/>
              <w:rPr>
                <w:rFonts w:eastAsia="Calibri"/>
                <w:sz w:val="28"/>
                <w:szCs w:val="28"/>
                <w:shd w:val="clear" w:color="auto" w:fill="FFFFFF"/>
                <w:lang w:eastAsia="en-US"/>
              </w:rPr>
            </w:pPr>
            <w:r>
              <w:rPr>
                <w:rFonts w:eastAsia="Calibri"/>
                <w:sz w:val="28"/>
                <w:szCs w:val="28"/>
                <w:shd w:val="clear" w:color="auto" w:fill="FFFFFF"/>
                <w:lang w:val="ru-RU" w:eastAsia="en-US"/>
              </w:rPr>
              <w:t>246,51</w:t>
            </w:r>
            <w:r w:rsidR="00746C6C" w:rsidRPr="00746C6C">
              <w:rPr>
                <w:rFonts w:eastAsia="Calibri"/>
                <w:sz w:val="28"/>
                <w:szCs w:val="28"/>
                <w:shd w:val="clear" w:color="auto" w:fill="FFFFFF"/>
                <w:lang w:eastAsia="en-US"/>
              </w:rPr>
              <w:t xml:space="preserve"> грн.</w:t>
            </w:r>
          </w:p>
        </w:tc>
        <w:tc>
          <w:tcPr>
            <w:tcW w:w="861" w:type="pct"/>
            <w:shd w:val="clear" w:color="auto" w:fill="auto"/>
          </w:tcPr>
          <w:p w14:paraId="224402D6" w14:textId="77777777" w:rsidR="00746C6C" w:rsidRPr="00746C6C" w:rsidRDefault="00746C6C" w:rsidP="00746C6C">
            <w:pPr>
              <w:jc w:val="both"/>
              <w:outlineLvl w:val="0"/>
              <w:rPr>
                <w:rFonts w:eastAsia="Calibri"/>
                <w:sz w:val="28"/>
                <w:szCs w:val="28"/>
                <w:shd w:val="clear" w:color="auto" w:fill="FFFFFF"/>
                <w:lang w:eastAsia="en-US"/>
              </w:rPr>
            </w:pPr>
          </w:p>
        </w:tc>
        <w:tc>
          <w:tcPr>
            <w:tcW w:w="855" w:type="pct"/>
            <w:tcBorders>
              <w:top w:val="outset" w:sz="6" w:space="0" w:color="000000"/>
              <w:left w:val="outset" w:sz="6" w:space="0" w:color="000000"/>
              <w:bottom w:val="outset" w:sz="6" w:space="0" w:color="000000"/>
              <w:right w:val="outset" w:sz="6" w:space="0" w:color="000000"/>
            </w:tcBorders>
          </w:tcPr>
          <w:p w14:paraId="262D9579" w14:textId="77777777" w:rsidR="00746C6C" w:rsidRPr="00746C6C" w:rsidRDefault="00FD608C" w:rsidP="00746C6C">
            <w:pPr>
              <w:jc w:val="both"/>
              <w:outlineLvl w:val="0"/>
              <w:rPr>
                <w:rFonts w:eastAsia="Calibri"/>
                <w:sz w:val="28"/>
                <w:szCs w:val="28"/>
                <w:shd w:val="clear" w:color="auto" w:fill="FFFFFF"/>
                <w:lang w:eastAsia="en-US"/>
              </w:rPr>
            </w:pPr>
            <w:r>
              <w:rPr>
                <w:rFonts w:eastAsia="Calibri"/>
                <w:sz w:val="28"/>
                <w:szCs w:val="28"/>
                <w:shd w:val="clear" w:color="auto" w:fill="FFFFFF"/>
                <w:lang w:val="ru-RU" w:eastAsia="en-US"/>
              </w:rPr>
              <w:t>246,51</w:t>
            </w:r>
            <w:r w:rsidR="00746C6C" w:rsidRPr="00746C6C">
              <w:rPr>
                <w:rFonts w:eastAsia="Calibri"/>
                <w:sz w:val="28"/>
                <w:szCs w:val="28"/>
                <w:shd w:val="clear" w:color="auto" w:fill="FFFFFF"/>
                <w:lang w:eastAsia="en-US"/>
              </w:rPr>
              <w:t xml:space="preserve"> грн.</w:t>
            </w:r>
          </w:p>
        </w:tc>
      </w:tr>
    </w:tbl>
    <w:p w14:paraId="58F2A15E" w14:textId="77777777" w:rsidR="00746C6C" w:rsidRPr="00746C6C" w:rsidRDefault="00746C6C" w:rsidP="00746C6C">
      <w:pPr>
        <w:jc w:val="both"/>
        <w:outlineLvl w:val="0"/>
        <w:rPr>
          <w:rFonts w:eastAsia="Calibri"/>
          <w:sz w:val="28"/>
          <w:szCs w:val="28"/>
          <w:shd w:val="clear" w:color="auto" w:fill="FFFFF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57" w:type="dxa"/>
          <w:bottom w:w="15" w:type="dxa"/>
          <w:right w:w="57" w:type="dxa"/>
        </w:tblCellMar>
        <w:tblLook w:val="04A0" w:firstRow="1" w:lastRow="0" w:firstColumn="1" w:lastColumn="0" w:noHBand="0" w:noVBand="1"/>
      </w:tblPr>
      <w:tblGrid>
        <w:gridCol w:w="4528"/>
        <w:gridCol w:w="3217"/>
        <w:gridCol w:w="1600"/>
      </w:tblGrid>
      <w:tr w:rsidR="00746C6C" w:rsidRPr="00746C6C" w14:paraId="60CCE296" w14:textId="77777777" w:rsidTr="00746C6C">
        <w:trPr>
          <w:trHeight w:val="20"/>
        </w:trPr>
        <w:tc>
          <w:tcPr>
            <w:tcW w:w="2423" w:type="pct"/>
            <w:vAlign w:val="center"/>
          </w:tcPr>
          <w:p w14:paraId="6F2583EA" w14:textId="77777777" w:rsidR="00746C6C" w:rsidRPr="00746C6C" w:rsidRDefault="00746C6C" w:rsidP="00746C6C">
            <w:pPr>
              <w:jc w:val="both"/>
              <w:outlineLvl w:val="0"/>
              <w:rPr>
                <w:rFonts w:eastAsia="Calibri"/>
                <w:sz w:val="28"/>
                <w:szCs w:val="28"/>
                <w:shd w:val="clear" w:color="auto" w:fill="FFFFFF"/>
                <w:lang w:eastAsia="en-US"/>
              </w:rPr>
            </w:pPr>
            <w:bookmarkStart w:id="12" w:name="n181"/>
            <w:bookmarkEnd w:id="12"/>
            <w:r w:rsidRPr="00746C6C">
              <w:rPr>
                <w:rFonts w:eastAsia="Calibri"/>
                <w:sz w:val="28"/>
                <w:szCs w:val="28"/>
                <w:shd w:val="clear" w:color="auto" w:fill="FFFFFF"/>
                <w:lang w:eastAsia="en-US"/>
              </w:rPr>
              <w:t>Вид витрат</w:t>
            </w:r>
          </w:p>
        </w:tc>
        <w:tc>
          <w:tcPr>
            <w:tcW w:w="1721" w:type="pct"/>
            <w:vAlign w:val="center"/>
          </w:tcPr>
          <w:p w14:paraId="0D429003"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 xml:space="preserve">Витрати на сплату податків та зборів </w:t>
            </w:r>
            <w:r w:rsidRPr="00746C6C">
              <w:rPr>
                <w:rFonts w:eastAsia="Calibri"/>
                <w:sz w:val="28"/>
                <w:szCs w:val="28"/>
                <w:shd w:val="clear" w:color="auto" w:fill="FFFFFF"/>
                <w:lang w:eastAsia="en-US"/>
              </w:rPr>
              <w:lastRenderedPageBreak/>
              <w:t>(змінених/ нововведених) (за рік)</w:t>
            </w:r>
          </w:p>
        </w:tc>
        <w:tc>
          <w:tcPr>
            <w:tcW w:w="856" w:type="pct"/>
            <w:vAlign w:val="center"/>
          </w:tcPr>
          <w:p w14:paraId="4D9B7B10"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lastRenderedPageBreak/>
              <w:t>Витрати за п’ять років</w:t>
            </w:r>
          </w:p>
        </w:tc>
      </w:tr>
      <w:tr w:rsidR="00746C6C" w:rsidRPr="00746C6C" w14:paraId="40E0E3A1" w14:textId="77777777" w:rsidTr="00746C6C">
        <w:trPr>
          <w:trHeight w:val="20"/>
        </w:trPr>
        <w:tc>
          <w:tcPr>
            <w:tcW w:w="2423" w:type="pct"/>
          </w:tcPr>
          <w:p w14:paraId="2F1D832A"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Податки та збори (зміна розміру податків/зборів, виникнення необхідності у сплаті податків/зборів)</w:t>
            </w:r>
          </w:p>
        </w:tc>
        <w:tc>
          <w:tcPr>
            <w:tcW w:w="1721" w:type="pct"/>
          </w:tcPr>
          <w:p w14:paraId="1A3DA09A"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856" w:type="pct"/>
          </w:tcPr>
          <w:p w14:paraId="4946EC37"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r>
    </w:tbl>
    <w:p w14:paraId="0E8975AD" w14:textId="77777777" w:rsidR="00746C6C" w:rsidRPr="00746C6C" w:rsidRDefault="00746C6C" w:rsidP="00746C6C">
      <w:pPr>
        <w:jc w:val="both"/>
        <w:outlineLvl w:val="0"/>
        <w:rPr>
          <w:rFonts w:eastAsia="Calibri"/>
          <w:sz w:val="28"/>
          <w:szCs w:val="28"/>
          <w:shd w:val="clear" w:color="auto" w:fill="FFFFFF"/>
          <w:lang w:eastAsia="en-US"/>
        </w:rPr>
      </w:pPr>
      <w:bookmarkStart w:id="13" w:name="n182"/>
      <w:bookmarkEnd w:id="13"/>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916"/>
        <w:gridCol w:w="1612"/>
        <w:gridCol w:w="1606"/>
        <w:gridCol w:w="1608"/>
        <w:gridCol w:w="1597"/>
      </w:tblGrid>
      <w:tr w:rsidR="00746C6C" w:rsidRPr="00746C6C" w14:paraId="76AAE268" w14:textId="77777777" w:rsidTr="00746C6C">
        <w:trPr>
          <w:trHeight w:val="866"/>
        </w:trPr>
        <w:tc>
          <w:tcPr>
            <w:tcW w:w="1561" w:type="pct"/>
            <w:tcBorders>
              <w:top w:val="outset" w:sz="6" w:space="0" w:color="000000"/>
              <w:left w:val="outset" w:sz="6" w:space="0" w:color="000000"/>
              <w:bottom w:val="outset" w:sz="6" w:space="0" w:color="000000"/>
              <w:right w:val="outset" w:sz="6" w:space="0" w:color="000000"/>
            </w:tcBorders>
            <w:vAlign w:val="center"/>
          </w:tcPr>
          <w:p w14:paraId="4A742DB0"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Вид витрат</w:t>
            </w:r>
          </w:p>
        </w:tc>
        <w:tc>
          <w:tcPr>
            <w:tcW w:w="863" w:type="pct"/>
            <w:tcBorders>
              <w:top w:val="outset" w:sz="6" w:space="0" w:color="000000"/>
              <w:left w:val="outset" w:sz="6" w:space="0" w:color="000000"/>
              <w:bottom w:val="outset" w:sz="6" w:space="0" w:color="000000"/>
              <w:right w:val="outset" w:sz="6" w:space="0" w:color="000000"/>
            </w:tcBorders>
            <w:vAlign w:val="center"/>
          </w:tcPr>
          <w:p w14:paraId="6609897C"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на ведення обліку, підготовку та подання звітності (за рік)</w:t>
            </w:r>
          </w:p>
        </w:tc>
        <w:tc>
          <w:tcPr>
            <w:tcW w:w="860" w:type="pct"/>
            <w:tcBorders>
              <w:top w:val="outset" w:sz="6" w:space="0" w:color="000000"/>
              <w:left w:val="outset" w:sz="6" w:space="0" w:color="000000"/>
              <w:bottom w:val="outset" w:sz="6" w:space="0" w:color="000000"/>
              <w:right w:val="outset" w:sz="6" w:space="0" w:color="000000"/>
            </w:tcBorders>
            <w:vAlign w:val="center"/>
          </w:tcPr>
          <w:p w14:paraId="16EC3E01"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на оплату штрафних санкцій за рік</w:t>
            </w:r>
          </w:p>
        </w:tc>
        <w:tc>
          <w:tcPr>
            <w:tcW w:w="861" w:type="pct"/>
            <w:tcBorders>
              <w:top w:val="outset" w:sz="6" w:space="0" w:color="000000"/>
              <w:left w:val="outset" w:sz="6" w:space="0" w:color="000000"/>
              <w:bottom w:val="outset" w:sz="6" w:space="0" w:color="000000"/>
              <w:right w:val="outset" w:sz="6" w:space="0" w:color="000000"/>
            </w:tcBorders>
            <w:vAlign w:val="center"/>
          </w:tcPr>
          <w:p w14:paraId="00136BA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Разом за рік</w:t>
            </w:r>
          </w:p>
        </w:tc>
        <w:tc>
          <w:tcPr>
            <w:tcW w:w="855" w:type="pct"/>
            <w:tcBorders>
              <w:top w:val="outset" w:sz="6" w:space="0" w:color="000000"/>
              <w:left w:val="outset" w:sz="6" w:space="0" w:color="000000"/>
              <w:bottom w:val="outset" w:sz="6" w:space="0" w:color="000000"/>
              <w:right w:val="outset" w:sz="6" w:space="0" w:color="000000"/>
            </w:tcBorders>
            <w:vAlign w:val="center"/>
          </w:tcPr>
          <w:p w14:paraId="0416B859"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за п’ять років</w:t>
            </w:r>
          </w:p>
        </w:tc>
      </w:tr>
      <w:tr w:rsidR="00746C6C" w:rsidRPr="00746C6C" w14:paraId="46F209EC" w14:textId="77777777" w:rsidTr="00746C6C">
        <w:trPr>
          <w:trHeight w:val="1761"/>
        </w:trPr>
        <w:tc>
          <w:tcPr>
            <w:tcW w:w="1561" w:type="pct"/>
            <w:tcBorders>
              <w:top w:val="outset" w:sz="6" w:space="0" w:color="000000"/>
              <w:left w:val="outset" w:sz="6" w:space="0" w:color="000000"/>
              <w:bottom w:val="outset" w:sz="6" w:space="0" w:color="000000"/>
              <w:right w:val="outset" w:sz="6" w:space="0" w:color="000000"/>
            </w:tcBorders>
          </w:tcPr>
          <w:p w14:paraId="14BCA07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пов’язані із веденням обліку, підготовкою та поданням звітності державним органам (витрати часу персоналу)</w:t>
            </w:r>
          </w:p>
        </w:tc>
        <w:tc>
          <w:tcPr>
            <w:tcW w:w="863" w:type="pct"/>
            <w:tcBorders>
              <w:top w:val="outset" w:sz="6" w:space="0" w:color="000000"/>
              <w:left w:val="outset" w:sz="6" w:space="0" w:color="000000"/>
              <w:bottom w:val="outset" w:sz="6" w:space="0" w:color="000000"/>
              <w:right w:val="outset" w:sz="6" w:space="0" w:color="000000"/>
            </w:tcBorders>
          </w:tcPr>
          <w:p w14:paraId="2365DB04"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860" w:type="pct"/>
            <w:tcBorders>
              <w:top w:val="outset" w:sz="6" w:space="0" w:color="000000"/>
              <w:left w:val="outset" w:sz="6" w:space="0" w:color="000000"/>
              <w:bottom w:val="outset" w:sz="6" w:space="0" w:color="000000"/>
              <w:right w:val="outset" w:sz="6" w:space="0" w:color="000000"/>
            </w:tcBorders>
          </w:tcPr>
          <w:p w14:paraId="158FE8B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861" w:type="pct"/>
            <w:tcBorders>
              <w:top w:val="outset" w:sz="6" w:space="0" w:color="000000"/>
              <w:left w:val="outset" w:sz="6" w:space="0" w:color="000000"/>
              <w:bottom w:val="outset" w:sz="6" w:space="0" w:color="000000"/>
              <w:right w:val="outset" w:sz="6" w:space="0" w:color="000000"/>
            </w:tcBorders>
          </w:tcPr>
          <w:p w14:paraId="4CE09505"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855" w:type="pct"/>
            <w:tcBorders>
              <w:top w:val="outset" w:sz="6" w:space="0" w:color="000000"/>
              <w:left w:val="outset" w:sz="6" w:space="0" w:color="000000"/>
              <w:bottom w:val="outset" w:sz="6" w:space="0" w:color="000000"/>
              <w:right w:val="outset" w:sz="6" w:space="0" w:color="000000"/>
            </w:tcBorders>
          </w:tcPr>
          <w:p w14:paraId="5EC1AC0B"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r>
    </w:tbl>
    <w:p w14:paraId="4E737A1A" w14:textId="77777777" w:rsidR="00746C6C" w:rsidRPr="00746C6C" w:rsidRDefault="00746C6C" w:rsidP="00746C6C">
      <w:pPr>
        <w:jc w:val="both"/>
        <w:outlineLvl w:val="0"/>
        <w:rPr>
          <w:rFonts w:eastAsia="Calibri"/>
          <w:sz w:val="28"/>
          <w:szCs w:val="28"/>
          <w:shd w:val="clear" w:color="auto" w:fill="FFFFFF"/>
          <w:lang w:eastAsia="en-US"/>
        </w:rPr>
      </w:pPr>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185"/>
        <w:gridCol w:w="2193"/>
        <w:gridCol w:w="2340"/>
        <w:gridCol w:w="1756"/>
        <w:gridCol w:w="865"/>
      </w:tblGrid>
      <w:tr w:rsidR="00746C6C" w:rsidRPr="00746C6C" w14:paraId="2903DD95" w14:textId="77777777" w:rsidTr="00746C6C">
        <w:trPr>
          <w:trHeight w:val="20"/>
          <w:tblHeader/>
        </w:trPr>
        <w:tc>
          <w:tcPr>
            <w:tcW w:w="1170" w:type="pct"/>
            <w:tcBorders>
              <w:top w:val="outset" w:sz="6" w:space="0" w:color="000000"/>
              <w:left w:val="outset" w:sz="6" w:space="0" w:color="000000"/>
              <w:bottom w:val="outset" w:sz="6" w:space="0" w:color="000000"/>
              <w:right w:val="outset" w:sz="6" w:space="0" w:color="000000"/>
            </w:tcBorders>
            <w:vAlign w:val="center"/>
          </w:tcPr>
          <w:p w14:paraId="3F200958" w14:textId="77777777" w:rsidR="00746C6C" w:rsidRPr="00746C6C" w:rsidRDefault="00746C6C" w:rsidP="00746C6C">
            <w:pPr>
              <w:jc w:val="both"/>
              <w:outlineLvl w:val="0"/>
              <w:rPr>
                <w:rFonts w:eastAsia="Calibri"/>
                <w:sz w:val="28"/>
                <w:szCs w:val="28"/>
                <w:shd w:val="clear" w:color="auto" w:fill="FFFFFF"/>
                <w:lang w:eastAsia="en-US"/>
              </w:rPr>
            </w:pPr>
            <w:bookmarkStart w:id="14" w:name="n183"/>
            <w:bookmarkStart w:id="15" w:name="n184"/>
            <w:bookmarkEnd w:id="14"/>
            <w:bookmarkEnd w:id="15"/>
            <w:r w:rsidRPr="00746C6C">
              <w:rPr>
                <w:rFonts w:eastAsia="Calibri"/>
                <w:sz w:val="28"/>
                <w:szCs w:val="28"/>
                <w:shd w:val="clear" w:color="auto" w:fill="FFFFFF"/>
                <w:lang w:eastAsia="en-US"/>
              </w:rPr>
              <w:t>Вид витрат</w:t>
            </w:r>
          </w:p>
        </w:tc>
        <w:tc>
          <w:tcPr>
            <w:tcW w:w="1174" w:type="pct"/>
            <w:tcBorders>
              <w:top w:val="outset" w:sz="6" w:space="0" w:color="000000"/>
              <w:left w:val="outset" w:sz="6" w:space="0" w:color="000000"/>
              <w:bottom w:val="outset" w:sz="6" w:space="0" w:color="000000"/>
              <w:right w:val="outset" w:sz="6" w:space="0" w:color="000000"/>
            </w:tcBorders>
            <w:vAlign w:val="center"/>
          </w:tcPr>
          <w:p w14:paraId="4B133CE6"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 xml:space="preserve">Витрати на адміністрування заходів державного нагляду (контролю) </w:t>
            </w:r>
            <w:r w:rsidRPr="00746C6C">
              <w:rPr>
                <w:rFonts w:eastAsia="Calibri"/>
                <w:sz w:val="28"/>
                <w:szCs w:val="28"/>
                <w:shd w:val="clear" w:color="auto" w:fill="FFFFFF"/>
                <w:lang w:eastAsia="en-US"/>
              </w:rPr>
              <w:br/>
              <w:t>(за рік)</w:t>
            </w:r>
          </w:p>
        </w:tc>
        <w:tc>
          <w:tcPr>
            <w:tcW w:w="1253" w:type="pct"/>
            <w:tcBorders>
              <w:top w:val="outset" w:sz="6" w:space="0" w:color="000000"/>
              <w:left w:val="outset" w:sz="6" w:space="0" w:color="000000"/>
              <w:bottom w:val="outset" w:sz="6" w:space="0" w:color="000000"/>
              <w:right w:val="outset" w:sz="6" w:space="0" w:color="000000"/>
            </w:tcBorders>
            <w:vAlign w:val="center"/>
          </w:tcPr>
          <w:p w14:paraId="3C142BC8"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 xml:space="preserve">Витрати на оплату штрафних санкцій та усунення виявлених порушень </w:t>
            </w:r>
            <w:r w:rsidRPr="00746C6C">
              <w:rPr>
                <w:rFonts w:eastAsia="Calibri"/>
                <w:sz w:val="28"/>
                <w:szCs w:val="28"/>
                <w:shd w:val="clear" w:color="auto" w:fill="FFFFFF"/>
                <w:lang w:eastAsia="en-US"/>
              </w:rPr>
              <w:br/>
              <w:t>(за рік)</w:t>
            </w:r>
          </w:p>
        </w:tc>
        <w:tc>
          <w:tcPr>
            <w:tcW w:w="940" w:type="pct"/>
            <w:tcBorders>
              <w:top w:val="outset" w:sz="6" w:space="0" w:color="000000"/>
              <w:left w:val="outset" w:sz="6" w:space="0" w:color="000000"/>
              <w:bottom w:val="outset" w:sz="6" w:space="0" w:color="000000"/>
              <w:right w:val="outset" w:sz="6" w:space="0" w:color="000000"/>
            </w:tcBorders>
            <w:vAlign w:val="center"/>
          </w:tcPr>
          <w:p w14:paraId="6CE06488"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Періодичні (за наступні роки)</w:t>
            </w:r>
          </w:p>
        </w:tc>
        <w:tc>
          <w:tcPr>
            <w:tcW w:w="463" w:type="pct"/>
            <w:tcBorders>
              <w:top w:val="outset" w:sz="6" w:space="0" w:color="000000"/>
              <w:left w:val="outset" w:sz="6" w:space="0" w:color="000000"/>
              <w:bottom w:val="outset" w:sz="6" w:space="0" w:color="000000"/>
              <w:right w:val="outset" w:sz="6" w:space="0" w:color="000000"/>
            </w:tcBorders>
            <w:vAlign w:val="center"/>
          </w:tcPr>
          <w:p w14:paraId="777D9D2E"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за п’ять років</w:t>
            </w:r>
          </w:p>
        </w:tc>
      </w:tr>
      <w:tr w:rsidR="00746C6C" w:rsidRPr="00746C6C" w14:paraId="69D00554" w14:textId="77777777" w:rsidTr="00746C6C">
        <w:trPr>
          <w:trHeight w:val="20"/>
        </w:trPr>
        <w:tc>
          <w:tcPr>
            <w:tcW w:w="1170" w:type="pct"/>
            <w:tcBorders>
              <w:top w:val="outset" w:sz="6" w:space="0" w:color="000000"/>
              <w:left w:val="outset" w:sz="6" w:space="0" w:color="000000"/>
              <w:bottom w:val="outset" w:sz="6" w:space="0" w:color="000000"/>
              <w:right w:val="outset" w:sz="6" w:space="0" w:color="000000"/>
            </w:tcBorders>
          </w:tcPr>
          <w:p w14:paraId="145857F3"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74" w:type="pct"/>
            <w:tcBorders>
              <w:top w:val="outset" w:sz="6" w:space="0" w:color="000000"/>
              <w:left w:val="outset" w:sz="6" w:space="0" w:color="000000"/>
              <w:bottom w:val="outset" w:sz="6" w:space="0" w:color="000000"/>
              <w:right w:val="outset" w:sz="6" w:space="0" w:color="000000"/>
            </w:tcBorders>
          </w:tcPr>
          <w:p w14:paraId="1C32CF4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1253" w:type="pct"/>
            <w:tcBorders>
              <w:top w:val="outset" w:sz="6" w:space="0" w:color="000000"/>
              <w:left w:val="outset" w:sz="6" w:space="0" w:color="000000"/>
              <w:bottom w:val="outset" w:sz="6" w:space="0" w:color="000000"/>
              <w:right w:val="outset" w:sz="6" w:space="0" w:color="000000"/>
            </w:tcBorders>
          </w:tcPr>
          <w:p w14:paraId="6447CEDB"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940" w:type="pct"/>
            <w:tcBorders>
              <w:top w:val="outset" w:sz="6" w:space="0" w:color="000000"/>
              <w:left w:val="outset" w:sz="6" w:space="0" w:color="000000"/>
              <w:bottom w:val="outset" w:sz="6" w:space="0" w:color="000000"/>
              <w:right w:val="outset" w:sz="6" w:space="0" w:color="000000"/>
            </w:tcBorders>
          </w:tcPr>
          <w:p w14:paraId="31D79A80"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463" w:type="pct"/>
            <w:tcBorders>
              <w:top w:val="outset" w:sz="6" w:space="0" w:color="000000"/>
              <w:left w:val="outset" w:sz="6" w:space="0" w:color="000000"/>
              <w:bottom w:val="outset" w:sz="6" w:space="0" w:color="000000"/>
              <w:right w:val="outset" w:sz="6" w:space="0" w:color="000000"/>
            </w:tcBorders>
          </w:tcPr>
          <w:p w14:paraId="374EEC67"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r>
    </w:tbl>
    <w:p w14:paraId="6C696684" w14:textId="77777777" w:rsidR="00746C6C" w:rsidRPr="00746C6C" w:rsidRDefault="00746C6C" w:rsidP="00746C6C">
      <w:pPr>
        <w:jc w:val="both"/>
        <w:outlineLvl w:val="0"/>
        <w:rPr>
          <w:rFonts w:eastAsia="Calibri"/>
          <w:sz w:val="28"/>
          <w:szCs w:val="28"/>
          <w:shd w:val="clear" w:color="auto" w:fill="FFFFFF"/>
          <w:lang w:eastAsia="en-US"/>
        </w:rPr>
      </w:pPr>
      <w:bookmarkStart w:id="16" w:name="n185"/>
      <w:bookmarkEnd w:id="16"/>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2186"/>
        <w:gridCol w:w="2340"/>
        <w:gridCol w:w="1754"/>
        <w:gridCol w:w="2047"/>
        <w:gridCol w:w="1012"/>
      </w:tblGrid>
      <w:tr w:rsidR="00746C6C" w:rsidRPr="00746C6C" w14:paraId="44F1557B" w14:textId="77777777" w:rsidTr="00746C6C">
        <w:trPr>
          <w:trHeight w:val="20"/>
          <w:tblHeader/>
        </w:trPr>
        <w:tc>
          <w:tcPr>
            <w:tcW w:w="1170" w:type="pct"/>
            <w:tcBorders>
              <w:top w:val="outset" w:sz="6" w:space="0" w:color="000000"/>
              <w:left w:val="outset" w:sz="6" w:space="0" w:color="000000"/>
              <w:bottom w:val="outset" w:sz="6" w:space="0" w:color="000000"/>
              <w:right w:val="outset" w:sz="6" w:space="0" w:color="000000"/>
            </w:tcBorders>
            <w:vAlign w:val="center"/>
          </w:tcPr>
          <w:p w14:paraId="228ED196" w14:textId="77777777" w:rsidR="00746C6C" w:rsidRPr="00746C6C" w:rsidRDefault="00746C6C" w:rsidP="00746C6C">
            <w:pPr>
              <w:jc w:val="both"/>
              <w:outlineLvl w:val="0"/>
              <w:rPr>
                <w:rFonts w:eastAsia="Calibri"/>
                <w:sz w:val="28"/>
                <w:szCs w:val="28"/>
                <w:shd w:val="clear" w:color="auto" w:fill="FFFFFF"/>
                <w:lang w:eastAsia="en-US"/>
              </w:rPr>
            </w:pPr>
            <w:bookmarkStart w:id="17" w:name="n186"/>
            <w:bookmarkEnd w:id="17"/>
            <w:r w:rsidRPr="00746C6C">
              <w:rPr>
                <w:rFonts w:eastAsia="Calibri"/>
                <w:sz w:val="28"/>
                <w:szCs w:val="28"/>
                <w:shd w:val="clear" w:color="auto" w:fill="FFFFFF"/>
                <w:lang w:eastAsia="en-US"/>
              </w:rPr>
              <w:lastRenderedPageBreak/>
              <w:t>Вид витрат</w:t>
            </w:r>
          </w:p>
        </w:tc>
        <w:tc>
          <w:tcPr>
            <w:tcW w:w="1253" w:type="pct"/>
            <w:tcBorders>
              <w:top w:val="outset" w:sz="6" w:space="0" w:color="000000"/>
              <w:left w:val="outset" w:sz="6" w:space="0" w:color="000000"/>
              <w:bottom w:val="outset" w:sz="6" w:space="0" w:color="000000"/>
              <w:right w:val="outset" w:sz="6" w:space="0" w:color="000000"/>
            </w:tcBorders>
            <w:vAlign w:val="center"/>
          </w:tcPr>
          <w:p w14:paraId="5C0B363E"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на проходження відповідних процедур (витрати часу, витрати на експертизи, тощо)</w:t>
            </w:r>
          </w:p>
        </w:tc>
        <w:tc>
          <w:tcPr>
            <w:tcW w:w="939" w:type="pct"/>
            <w:tcBorders>
              <w:top w:val="outset" w:sz="6" w:space="0" w:color="000000"/>
              <w:left w:val="outset" w:sz="6" w:space="0" w:color="000000"/>
              <w:bottom w:val="outset" w:sz="6" w:space="0" w:color="000000"/>
              <w:right w:val="outset" w:sz="6" w:space="0" w:color="000000"/>
            </w:tcBorders>
            <w:vAlign w:val="center"/>
          </w:tcPr>
          <w:p w14:paraId="352CBEB1"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безпосередньо на дозволи, ліцензії, сертифікати, страхові поліси (за рік - стартовий)</w:t>
            </w:r>
          </w:p>
        </w:tc>
        <w:tc>
          <w:tcPr>
            <w:tcW w:w="1096" w:type="pct"/>
            <w:tcBorders>
              <w:top w:val="outset" w:sz="6" w:space="0" w:color="000000"/>
              <w:left w:val="outset" w:sz="6" w:space="0" w:color="000000"/>
              <w:bottom w:val="outset" w:sz="6" w:space="0" w:color="000000"/>
              <w:right w:val="outset" w:sz="6" w:space="0" w:color="000000"/>
            </w:tcBorders>
            <w:vAlign w:val="center"/>
          </w:tcPr>
          <w:p w14:paraId="109C61CC"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Періодичні (за наступні роки)</w:t>
            </w:r>
          </w:p>
        </w:tc>
        <w:tc>
          <w:tcPr>
            <w:tcW w:w="542" w:type="pct"/>
            <w:tcBorders>
              <w:top w:val="outset" w:sz="6" w:space="0" w:color="000000"/>
              <w:left w:val="outset" w:sz="6" w:space="0" w:color="000000"/>
              <w:bottom w:val="outset" w:sz="6" w:space="0" w:color="000000"/>
              <w:right w:val="outset" w:sz="6" w:space="0" w:color="000000"/>
            </w:tcBorders>
            <w:vAlign w:val="center"/>
          </w:tcPr>
          <w:p w14:paraId="5A608C40"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за п’ять років</w:t>
            </w:r>
          </w:p>
        </w:tc>
      </w:tr>
      <w:tr w:rsidR="00746C6C" w:rsidRPr="00746C6C" w14:paraId="3359A0FF" w14:textId="77777777" w:rsidTr="00746C6C">
        <w:trPr>
          <w:trHeight w:val="20"/>
        </w:trPr>
        <w:tc>
          <w:tcPr>
            <w:tcW w:w="1170" w:type="pct"/>
            <w:tcBorders>
              <w:top w:val="outset" w:sz="6" w:space="0" w:color="000000"/>
              <w:left w:val="outset" w:sz="6" w:space="0" w:color="000000"/>
              <w:bottom w:val="outset" w:sz="6" w:space="0" w:color="000000"/>
              <w:right w:val="outset" w:sz="6" w:space="0" w:color="000000"/>
            </w:tcBorders>
          </w:tcPr>
          <w:p w14:paraId="79692E8A"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253" w:type="pct"/>
            <w:tcBorders>
              <w:top w:val="outset" w:sz="6" w:space="0" w:color="000000"/>
              <w:left w:val="outset" w:sz="6" w:space="0" w:color="000000"/>
              <w:bottom w:val="outset" w:sz="6" w:space="0" w:color="000000"/>
              <w:right w:val="outset" w:sz="6" w:space="0" w:color="000000"/>
            </w:tcBorders>
          </w:tcPr>
          <w:p w14:paraId="532B62B0"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відсутні</w:t>
            </w:r>
          </w:p>
        </w:tc>
        <w:tc>
          <w:tcPr>
            <w:tcW w:w="939" w:type="pct"/>
            <w:tcBorders>
              <w:top w:val="outset" w:sz="6" w:space="0" w:color="000000"/>
              <w:left w:val="outset" w:sz="6" w:space="0" w:color="000000"/>
              <w:bottom w:val="outset" w:sz="6" w:space="0" w:color="000000"/>
              <w:right w:val="outset" w:sz="6" w:space="0" w:color="000000"/>
            </w:tcBorders>
          </w:tcPr>
          <w:p w14:paraId="4275CBD6"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відсутні</w:t>
            </w:r>
          </w:p>
        </w:tc>
        <w:tc>
          <w:tcPr>
            <w:tcW w:w="1096" w:type="pct"/>
            <w:tcBorders>
              <w:top w:val="outset" w:sz="6" w:space="0" w:color="000000"/>
              <w:left w:val="outset" w:sz="6" w:space="0" w:color="000000"/>
              <w:bottom w:val="outset" w:sz="6" w:space="0" w:color="000000"/>
              <w:right w:val="outset" w:sz="6" w:space="0" w:color="000000"/>
            </w:tcBorders>
          </w:tcPr>
          <w:p w14:paraId="3C1998AD"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відсутні</w:t>
            </w:r>
          </w:p>
        </w:tc>
        <w:tc>
          <w:tcPr>
            <w:tcW w:w="542" w:type="pct"/>
            <w:tcBorders>
              <w:top w:val="outset" w:sz="6" w:space="0" w:color="000000"/>
              <w:left w:val="outset" w:sz="6" w:space="0" w:color="000000"/>
              <w:bottom w:val="outset" w:sz="6" w:space="0" w:color="000000"/>
              <w:right w:val="outset" w:sz="6" w:space="0" w:color="000000"/>
            </w:tcBorders>
          </w:tcPr>
          <w:p w14:paraId="3D02E6B6"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відсутні</w:t>
            </w:r>
          </w:p>
        </w:tc>
      </w:tr>
    </w:tbl>
    <w:p w14:paraId="1082180D" w14:textId="77777777" w:rsidR="00746C6C" w:rsidRPr="00746C6C" w:rsidRDefault="00746C6C" w:rsidP="00746C6C">
      <w:pPr>
        <w:jc w:val="both"/>
        <w:outlineLvl w:val="0"/>
        <w:rPr>
          <w:rFonts w:eastAsia="Calibri"/>
          <w:sz w:val="28"/>
          <w:szCs w:val="28"/>
          <w:shd w:val="clear" w:color="auto" w:fill="FFFFFF"/>
          <w:lang w:eastAsia="en-US"/>
        </w:rPr>
      </w:pPr>
    </w:p>
    <w:tbl>
      <w:tblPr>
        <w:tblW w:w="5000" w:type="pct"/>
        <w:tblBorders>
          <w:top w:val="outset" w:sz="2" w:space="0" w:color="auto"/>
          <w:left w:val="outset" w:sz="2" w:space="0" w:color="auto"/>
          <w:bottom w:val="outset" w:sz="2" w:space="0" w:color="auto"/>
          <w:right w:val="outset" w:sz="2" w:space="0" w:color="auto"/>
        </w:tblBorders>
        <w:tblLayout w:type="fixed"/>
        <w:tblCellMar>
          <w:left w:w="57" w:type="dxa"/>
          <w:right w:w="57" w:type="dxa"/>
        </w:tblCellMar>
        <w:tblLook w:val="04A0" w:firstRow="1" w:lastRow="0" w:firstColumn="1" w:lastColumn="0" w:noHBand="0" w:noVBand="1"/>
      </w:tblPr>
      <w:tblGrid>
        <w:gridCol w:w="3648"/>
        <w:gridCol w:w="2193"/>
        <w:gridCol w:w="2047"/>
        <w:gridCol w:w="1451"/>
      </w:tblGrid>
      <w:tr w:rsidR="00746C6C" w:rsidRPr="00746C6C" w14:paraId="7C2F3A72" w14:textId="77777777" w:rsidTr="00746C6C">
        <w:trPr>
          <w:trHeight w:val="20"/>
          <w:tblHeader/>
        </w:trPr>
        <w:tc>
          <w:tcPr>
            <w:tcW w:w="1953" w:type="pct"/>
            <w:tcBorders>
              <w:top w:val="outset" w:sz="6" w:space="0" w:color="000000"/>
              <w:left w:val="outset" w:sz="6" w:space="0" w:color="000000"/>
              <w:bottom w:val="outset" w:sz="6" w:space="0" w:color="000000"/>
              <w:right w:val="outset" w:sz="6" w:space="0" w:color="000000"/>
            </w:tcBorders>
            <w:vAlign w:val="center"/>
          </w:tcPr>
          <w:p w14:paraId="69E17426" w14:textId="77777777" w:rsidR="00746C6C" w:rsidRPr="00746C6C" w:rsidRDefault="00746C6C" w:rsidP="00746C6C">
            <w:pPr>
              <w:jc w:val="both"/>
              <w:outlineLvl w:val="0"/>
              <w:rPr>
                <w:rFonts w:eastAsia="Calibri"/>
                <w:sz w:val="28"/>
                <w:szCs w:val="28"/>
                <w:shd w:val="clear" w:color="auto" w:fill="FFFFFF"/>
                <w:lang w:eastAsia="en-US"/>
              </w:rPr>
            </w:pPr>
            <w:bookmarkStart w:id="18" w:name="n187"/>
            <w:bookmarkEnd w:id="18"/>
            <w:r w:rsidRPr="00746C6C">
              <w:rPr>
                <w:rFonts w:eastAsia="Calibri"/>
                <w:sz w:val="28"/>
                <w:szCs w:val="28"/>
                <w:shd w:val="clear" w:color="auto" w:fill="FFFFFF"/>
                <w:lang w:eastAsia="en-US"/>
              </w:rPr>
              <w:t>Вид витрат</w:t>
            </w:r>
          </w:p>
        </w:tc>
        <w:tc>
          <w:tcPr>
            <w:tcW w:w="1174" w:type="pct"/>
            <w:tcBorders>
              <w:top w:val="outset" w:sz="6" w:space="0" w:color="000000"/>
              <w:left w:val="outset" w:sz="6" w:space="0" w:color="000000"/>
              <w:bottom w:val="outset" w:sz="6" w:space="0" w:color="000000"/>
              <w:right w:val="outset" w:sz="6" w:space="0" w:color="000000"/>
            </w:tcBorders>
            <w:vAlign w:val="center"/>
          </w:tcPr>
          <w:p w14:paraId="0931D64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За рік (стартовий)</w:t>
            </w:r>
          </w:p>
        </w:tc>
        <w:tc>
          <w:tcPr>
            <w:tcW w:w="1096" w:type="pct"/>
            <w:tcBorders>
              <w:top w:val="outset" w:sz="6" w:space="0" w:color="000000"/>
              <w:left w:val="outset" w:sz="6" w:space="0" w:color="000000"/>
              <w:bottom w:val="outset" w:sz="6" w:space="0" w:color="000000"/>
              <w:right w:val="outset" w:sz="6" w:space="0" w:color="000000"/>
            </w:tcBorders>
            <w:vAlign w:val="center"/>
          </w:tcPr>
          <w:p w14:paraId="57F75BE1"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Періодичні (за наступний рік)</w:t>
            </w:r>
          </w:p>
        </w:tc>
        <w:tc>
          <w:tcPr>
            <w:tcW w:w="777" w:type="pct"/>
            <w:tcBorders>
              <w:top w:val="outset" w:sz="6" w:space="0" w:color="000000"/>
              <w:left w:val="outset" w:sz="6" w:space="0" w:color="000000"/>
              <w:bottom w:val="outset" w:sz="6" w:space="0" w:color="000000"/>
              <w:right w:val="outset" w:sz="6" w:space="0" w:color="000000"/>
            </w:tcBorders>
            <w:vAlign w:val="center"/>
          </w:tcPr>
          <w:p w14:paraId="478CB602"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за п’ять років</w:t>
            </w:r>
          </w:p>
        </w:tc>
      </w:tr>
      <w:tr w:rsidR="00746C6C" w:rsidRPr="00746C6C" w14:paraId="4C65F313" w14:textId="77777777" w:rsidTr="00746C6C">
        <w:trPr>
          <w:trHeight w:val="20"/>
        </w:trPr>
        <w:tc>
          <w:tcPr>
            <w:tcW w:w="1953" w:type="pct"/>
            <w:tcBorders>
              <w:top w:val="outset" w:sz="6" w:space="0" w:color="000000"/>
              <w:left w:val="outset" w:sz="6" w:space="0" w:color="000000"/>
              <w:bottom w:val="outset" w:sz="6" w:space="0" w:color="000000"/>
              <w:right w:val="outset" w:sz="6" w:space="0" w:color="000000"/>
            </w:tcBorders>
          </w:tcPr>
          <w:p w14:paraId="3AE231C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на оборотні активи (матеріали, канцелярські товари тощо)</w:t>
            </w:r>
          </w:p>
        </w:tc>
        <w:tc>
          <w:tcPr>
            <w:tcW w:w="1174" w:type="pct"/>
            <w:tcBorders>
              <w:top w:val="outset" w:sz="6" w:space="0" w:color="000000"/>
              <w:left w:val="outset" w:sz="6" w:space="0" w:color="000000"/>
              <w:bottom w:val="outset" w:sz="6" w:space="0" w:color="000000"/>
              <w:right w:val="outset" w:sz="6" w:space="0" w:color="000000"/>
            </w:tcBorders>
          </w:tcPr>
          <w:p w14:paraId="129D988F"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1096" w:type="pct"/>
            <w:tcBorders>
              <w:top w:val="outset" w:sz="6" w:space="0" w:color="000000"/>
              <w:left w:val="outset" w:sz="6" w:space="0" w:color="000000"/>
              <w:bottom w:val="outset" w:sz="6" w:space="0" w:color="000000"/>
              <w:right w:val="outset" w:sz="6" w:space="0" w:color="000000"/>
            </w:tcBorders>
          </w:tcPr>
          <w:p w14:paraId="42F26EEE"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777" w:type="pct"/>
            <w:tcBorders>
              <w:top w:val="outset" w:sz="6" w:space="0" w:color="000000"/>
              <w:left w:val="outset" w:sz="6" w:space="0" w:color="000000"/>
              <w:bottom w:val="outset" w:sz="6" w:space="0" w:color="000000"/>
              <w:right w:val="outset" w:sz="6" w:space="0" w:color="000000"/>
            </w:tcBorders>
          </w:tcPr>
          <w:p w14:paraId="69967727"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r>
    </w:tbl>
    <w:p w14:paraId="7E2B0CEB" w14:textId="77777777" w:rsidR="00746C6C" w:rsidRPr="00746C6C" w:rsidRDefault="00746C6C" w:rsidP="00746C6C">
      <w:pPr>
        <w:jc w:val="both"/>
        <w:outlineLvl w:val="0"/>
        <w:rPr>
          <w:rFonts w:eastAsia="Calibri"/>
          <w:sz w:val="28"/>
          <w:szCs w:val="28"/>
          <w:shd w:val="clear" w:color="auto" w:fill="FFFFFF"/>
          <w:lang w:eastAsia="en-US"/>
        </w:rPr>
      </w:pPr>
      <w:bookmarkStart w:id="19" w:name="n188"/>
      <w:bookmarkEnd w:id="19"/>
    </w:p>
    <w:tbl>
      <w:tblPr>
        <w:tblW w:w="5000" w:type="pct"/>
        <w:tblBorders>
          <w:top w:val="outset" w:sz="2" w:space="0" w:color="auto"/>
          <w:left w:val="outset" w:sz="2" w:space="0" w:color="auto"/>
          <w:bottom w:val="outset" w:sz="2" w:space="0" w:color="auto"/>
          <w:right w:val="outset" w:sz="2" w:space="0" w:color="auto"/>
        </w:tblBorders>
        <w:tblCellMar>
          <w:left w:w="57" w:type="dxa"/>
          <w:right w:w="57" w:type="dxa"/>
        </w:tblCellMar>
        <w:tblLook w:val="04A0" w:firstRow="1" w:lastRow="0" w:firstColumn="1" w:lastColumn="0" w:noHBand="0" w:noVBand="1"/>
      </w:tblPr>
      <w:tblGrid>
        <w:gridCol w:w="2480"/>
        <w:gridCol w:w="3430"/>
        <w:gridCol w:w="3429"/>
      </w:tblGrid>
      <w:tr w:rsidR="00746C6C" w:rsidRPr="00746C6C" w14:paraId="5009D735" w14:textId="77777777" w:rsidTr="00746C6C">
        <w:trPr>
          <w:trHeight w:val="20"/>
        </w:trPr>
        <w:tc>
          <w:tcPr>
            <w:tcW w:w="1327" w:type="pct"/>
            <w:tcBorders>
              <w:top w:val="outset" w:sz="6" w:space="0" w:color="000000"/>
              <w:left w:val="outset" w:sz="6" w:space="0" w:color="000000"/>
              <w:bottom w:val="outset" w:sz="6" w:space="0" w:color="000000"/>
              <w:right w:val="outset" w:sz="6" w:space="0" w:color="000000"/>
            </w:tcBorders>
            <w:vAlign w:val="center"/>
          </w:tcPr>
          <w:p w14:paraId="549B9E96"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Вид витрат</w:t>
            </w:r>
          </w:p>
        </w:tc>
        <w:tc>
          <w:tcPr>
            <w:tcW w:w="1836" w:type="pct"/>
            <w:tcBorders>
              <w:top w:val="outset" w:sz="6" w:space="0" w:color="000000"/>
              <w:left w:val="outset" w:sz="6" w:space="0" w:color="000000"/>
              <w:bottom w:val="outset" w:sz="6" w:space="0" w:color="000000"/>
              <w:right w:val="outset" w:sz="6" w:space="0" w:color="000000"/>
            </w:tcBorders>
            <w:vAlign w:val="center"/>
          </w:tcPr>
          <w:p w14:paraId="711FCD36"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на оплату праці додатково найманого персоналу (за рік)</w:t>
            </w:r>
          </w:p>
        </w:tc>
        <w:tc>
          <w:tcPr>
            <w:tcW w:w="1836" w:type="pct"/>
            <w:tcBorders>
              <w:top w:val="outset" w:sz="6" w:space="0" w:color="000000"/>
              <w:left w:val="outset" w:sz="6" w:space="0" w:color="000000"/>
              <w:bottom w:val="outset" w:sz="6" w:space="0" w:color="000000"/>
              <w:right w:val="outset" w:sz="6" w:space="0" w:color="000000"/>
            </w:tcBorders>
            <w:vAlign w:val="center"/>
          </w:tcPr>
          <w:p w14:paraId="6C107FF5"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за п’ять років</w:t>
            </w:r>
          </w:p>
        </w:tc>
      </w:tr>
      <w:tr w:rsidR="00746C6C" w:rsidRPr="00746C6C" w14:paraId="42757069" w14:textId="77777777" w:rsidTr="00746C6C">
        <w:trPr>
          <w:trHeight w:val="20"/>
        </w:trPr>
        <w:tc>
          <w:tcPr>
            <w:tcW w:w="1327" w:type="pct"/>
            <w:tcBorders>
              <w:top w:val="outset" w:sz="6" w:space="0" w:color="000000"/>
              <w:left w:val="outset" w:sz="6" w:space="0" w:color="000000"/>
              <w:bottom w:val="outset" w:sz="6" w:space="0" w:color="000000"/>
              <w:right w:val="outset" w:sz="6" w:space="0" w:color="000000"/>
            </w:tcBorders>
          </w:tcPr>
          <w:p w14:paraId="2491FA2D"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Витрати, пов’язані із найманням додаткового персоналу</w:t>
            </w:r>
          </w:p>
        </w:tc>
        <w:tc>
          <w:tcPr>
            <w:tcW w:w="1836" w:type="pct"/>
            <w:tcBorders>
              <w:top w:val="outset" w:sz="6" w:space="0" w:color="000000"/>
              <w:left w:val="outset" w:sz="6" w:space="0" w:color="000000"/>
              <w:bottom w:val="outset" w:sz="6" w:space="0" w:color="000000"/>
              <w:right w:val="outset" w:sz="6" w:space="0" w:color="000000"/>
            </w:tcBorders>
          </w:tcPr>
          <w:p w14:paraId="0F3755BC"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c>
          <w:tcPr>
            <w:tcW w:w="1836" w:type="pct"/>
            <w:tcBorders>
              <w:top w:val="outset" w:sz="6" w:space="0" w:color="000000"/>
              <w:left w:val="outset" w:sz="6" w:space="0" w:color="000000"/>
              <w:bottom w:val="outset" w:sz="6" w:space="0" w:color="000000"/>
              <w:right w:val="outset" w:sz="6" w:space="0" w:color="000000"/>
            </w:tcBorders>
          </w:tcPr>
          <w:p w14:paraId="58E0C86A" w14:textId="77777777" w:rsidR="00746C6C" w:rsidRPr="00746C6C" w:rsidRDefault="00746C6C" w:rsidP="00746C6C">
            <w:pPr>
              <w:jc w:val="both"/>
              <w:outlineLvl w:val="0"/>
              <w:rPr>
                <w:rFonts w:eastAsia="Calibri"/>
                <w:sz w:val="28"/>
                <w:szCs w:val="28"/>
                <w:shd w:val="clear" w:color="auto" w:fill="FFFFFF"/>
                <w:lang w:eastAsia="en-US"/>
              </w:rPr>
            </w:pPr>
            <w:r w:rsidRPr="00746C6C">
              <w:rPr>
                <w:rFonts w:eastAsia="Calibri"/>
                <w:sz w:val="28"/>
                <w:szCs w:val="28"/>
                <w:shd w:val="clear" w:color="auto" w:fill="FFFFFF"/>
                <w:lang w:eastAsia="en-US"/>
              </w:rPr>
              <w:t>не передбачені</w:t>
            </w:r>
          </w:p>
        </w:tc>
      </w:tr>
    </w:tbl>
    <w:p w14:paraId="2E66472F" w14:textId="77777777" w:rsidR="00746C6C" w:rsidRPr="00746C6C" w:rsidRDefault="00746C6C" w:rsidP="00746C6C">
      <w:pPr>
        <w:jc w:val="both"/>
        <w:outlineLvl w:val="0"/>
        <w:rPr>
          <w:rFonts w:eastAsia="Calibri"/>
          <w:sz w:val="28"/>
          <w:szCs w:val="28"/>
          <w:shd w:val="clear" w:color="auto" w:fill="FFFFFF"/>
          <w:lang w:eastAsia="en-US"/>
        </w:rPr>
      </w:pPr>
    </w:p>
    <w:p w14:paraId="24C5A427" w14:textId="77777777" w:rsidR="00746C6C" w:rsidRDefault="00746C6C" w:rsidP="00036BA5">
      <w:pPr>
        <w:autoSpaceDE w:val="0"/>
        <w:autoSpaceDN w:val="0"/>
        <w:adjustRightInd w:val="0"/>
        <w:ind w:left="-990"/>
        <w:jc w:val="both"/>
        <w:rPr>
          <w:sz w:val="28"/>
          <w:szCs w:val="28"/>
        </w:rPr>
      </w:pPr>
    </w:p>
    <w:p w14:paraId="4D3729FC" w14:textId="77777777" w:rsidR="00746C6C" w:rsidRDefault="00746C6C" w:rsidP="00036BA5">
      <w:pPr>
        <w:autoSpaceDE w:val="0"/>
        <w:autoSpaceDN w:val="0"/>
        <w:adjustRightInd w:val="0"/>
        <w:ind w:left="-990"/>
        <w:jc w:val="both"/>
        <w:rPr>
          <w:sz w:val="28"/>
          <w:szCs w:val="28"/>
        </w:rPr>
      </w:pPr>
    </w:p>
    <w:p w14:paraId="58527CC4" w14:textId="77777777" w:rsidR="00746C6C" w:rsidRDefault="00746C6C" w:rsidP="00036BA5">
      <w:pPr>
        <w:autoSpaceDE w:val="0"/>
        <w:autoSpaceDN w:val="0"/>
        <w:adjustRightInd w:val="0"/>
        <w:ind w:left="-990"/>
        <w:jc w:val="both"/>
        <w:rPr>
          <w:sz w:val="28"/>
          <w:szCs w:val="28"/>
        </w:rPr>
      </w:pPr>
    </w:p>
    <w:p w14:paraId="6F894B55" w14:textId="77777777" w:rsidR="00746C6C" w:rsidRDefault="00746C6C" w:rsidP="00036BA5">
      <w:pPr>
        <w:autoSpaceDE w:val="0"/>
        <w:autoSpaceDN w:val="0"/>
        <w:adjustRightInd w:val="0"/>
        <w:ind w:left="-990"/>
        <w:jc w:val="both"/>
        <w:rPr>
          <w:sz w:val="28"/>
          <w:szCs w:val="28"/>
        </w:rPr>
      </w:pPr>
    </w:p>
    <w:p w14:paraId="011BFDCF" w14:textId="77777777" w:rsidR="00746C6C" w:rsidRDefault="00746C6C" w:rsidP="00036BA5">
      <w:pPr>
        <w:autoSpaceDE w:val="0"/>
        <w:autoSpaceDN w:val="0"/>
        <w:adjustRightInd w:val="0"/>
        <w:ind w:left="-990"/>
        <w:jc w:val="both"/>
        <w:rPr>
          <w:sz w:val="28"/>
          <w:szCs w:val="28"/>
        </w:rPr>
      </w:pPr>
    </w:p>
    <w:p w14:paraId="29E4A07A" w14:textId="77777777" w:rsidR="00746C6C" w:rsidRDefault="00746C6C" w:rsidP="00036BA5">
      <w:pPr>
        <w:autoSpaceDE w:val="0"/>
        <w:autoSpaceDN w:val="0"/>
        <w:adjustRightInd w:val="0"/>
        <w:ind w:left="-990"/>
        <w:jc w:val="both"/>
        <w:rPr>
          <w:sz w:val="28"/>
          <w:szCs w:val="28"/>
        </w:rPr>
      </w:pPr>
    </w:p>
    <w:p w14:paraId="42ED3D97" w14:textId="77777777" w:rsidR="00746C6C" w:rsidRPr="00CB4504" w:rsidRDefault="00746C6C" w:rsidP="00036BA5">
      <w:pPr>
        <w:autoSpaceDE w:val="0"/>
        <w:autoSpaceDN w:val="0"/>
        <w:adjustRightInd w:val="0"/>
        <w:ind w:left="-990"/>
        <w:jc w:val="both"/>
        <w:rPr>
          <w:sz w:val="28"/>
          <w:szCs w:val="28"/>
        </w:rPr>
      </w:pPr>
    </w:p>
    <w:sectPr w:rsidR="00746C6C" w:rsidRPr="00CB4504" w:rsidSect="002013BE">
      <w:headerReference w:type="even" r:id="rId8"/>
      <w:headerReference w:type="default" r:id="rId9"/>
      <w:pgSz w:w="11906" w:h="16838"/>
      <w:pgMar w:top="360" w:right="850" w:bottom="720" w:left="1701" w:header="35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258C" w14:textId="77777777" w:rsidR="00D64245" w:rsidRDefault="00D64245">
      <w:r>
        <w:separator/>
      </w:r>
    </w:p>
  </w:endnote>
  <w:endnote w:type="continuationSeparator" w:id="0">
    <w:p w14:paraId="653E3879" w14:textId="77777777" w:rsidR="00D64245" w:rsidRDefault="00D6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1E09" w14:textId="77777777" w:rsidR="00D64245" w:rsidRDefault="00D64245">
      <w:r>
        <w:separator/>
      </w:r>
    </w:p>
  </w:footnote>
  <w:footnote w:type="continuationSeparator" w:id="0">
    <w:p w14:paraId="23745E39" w14:textId="77777777" w:rsidR="00D64245" w:rsidRDefault="00D64245">
      <w:r>
        <w:continuationSeparator/>
      </w:r>
    </w:p>
  </w:footnote>
  <w:footnote w:id="1">
    <w:p w14:paraId="01697D09" w14:textId="77777777" w:rsidR="00746C6C" w:rsidRDefault="00746C6C">
      <w:pPr>
        <w:pStyle w:val="af5"/>
      </w:pPr>
      <w:r>
        <w:rPr>
          <w:rStyle w:val="af7"/>
        </w:rPr>
        <w:footnoteRef/>
      </w:r>
      <w:r>
        <w:t xml:space="preserve"> За даними Державної служби статистики України: </w:t>
      </w:r>
      <w:r w:rsidRPr="00D37327">
        <w:t>http://www.ukrstat.gov.ua/</w:t>
      </w:r>
    </w:p>
  </w:footnote>
  <w:footnote w:id="2">
    <w:p w14:paraId="46EE7F09" w14:textId="77777777" w:rsidR="00746C6C" w:rsidRPr="009C3097" w:rsidRDefault="00746C6C" w:rsidP="00D37327">
      <w:pPr>
        <w:pStyle w:val="af5"/>
        <w:jc w:val="both"/>
      </w:pPr>
      <w:r>
        <w:rPr>
          <w:rStyle w:val="af7"/>
        </w:rPr>
        <w:footnoteRef/>
      </w:r>
      <w:r w:rsidRPr="00AD5F69">
        <w:t xml:space="preserve"> </w:t>
      </w:r>
      <w:r>
        <w:t xml:space="preserve">За даними, отриманими від органів </w:t>
      </w:r>
      <w:r w:rsidR="00577C27">
        <w:t>ліцензування</w:t>
      </w:r>
      <w:r>
        <w:t xml:space="preserve"> на </w:t>
      </w:r>
      <w:r w:rsidRPr="009C3097">
        <w:t>доручення Першого Віце-прем’єр-міністра України – Міністра економічного розвитку і торгівлі України  від 14.04.2017 № 13676/1/1-17 до листа Мінекономрозвитку від 05.04.2017 № 3612-01/11164-01 щодо інформації про використання регуляторних процедур у сфері діяльності суб’єктів господарювання</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4E6" w14:textId="77777777" w:rsidR="00746C6C" w:rsidRDefault="00746C6C" w:rsidP="00B64F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D3389E" w14:textId="77777777" w:rsidR="00746C6C" w:rsidRDefault="00746C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5450" w14:textId="39626517" w:rsidR="00746C6C" w:rsidRDefault="00746C6C" w:rsidP="00B64F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369B">
      <w:rPr>
        <w:rStyle w:val="a5"/>
        <w:noProof/>
      </w:rPr>
      <w:t>6</w:t>
    </w:r>
    <w:r>
      <w:rPr>
        <w:rStyle w:val="a5"/>
      </w:rPr>
      <w:fldChar w:fldCharType="end"/>
    </w:r>
  </w:p>
  <w:p w14:paraId="46D14074" w14:textId="77777777" w:rsidR="00746C6C" w:rsidRDefault="00746C6C">
    <w:pPr>
      <w:pStyle w:val="a4"/>
    </w:pPr>
  </w:p>
  <w:p w14:paraId="64A26F3D" w14:textId="77777777" w:rsidR="00746C6C" w:rsidRPr="00396941" w:rsidRDefault="00746C6C">
    <w:pPr>
      <w:pStyle w:val="a4"/>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067"/>
    <w:multiLevelType w:val="hybridMultilevel"/>
    <w:tmpl w:val="326CB46E"/>
    <w:lvl w:ilvl="0" w:tplc="C02037E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C328C1"/>
    <w:multiLevelType w:val="hybridMultilevel"/>
    <w:tmpl w:val="128ABF0E"/>
    <w:lvl w:ilvl="0" w:tplc="B6FC817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ED3DA5"/>
    <w:multiLevelType w:val="hybridMultilevel"/>
    <w:tmpl w:val="5F34A9A0"/>
    <w:lvl w:ilvl="0" w:tplc="CF162F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E2DD2"/>
    <w:multiLevelType w:val="hybridMultilevel"/>
    <w:tmpl w:val="7FD818B0"/>
    <w:lvl w:ilvl="0" w:tplc="2FE4B2A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1270F"/>
    <w:multiLevelType w:val="hybridMultilevel"/>
    <w:tmpl w:val="798EC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64C9E"/>
    <w:multiLevelType w:val="hybridMultilevel"/>
    <w:tmpl w:val="059C9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6365D"/>
    <w:multiLevelType w:val="hybridMultilevel"/>
    <w:tmpl w:val="C07E2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D332B"/>
    <w:multiLevelType w:val="hybridMultilevel"/>
    <w:tmpl w:val="DCC2B0C0"/>
    <w:lvl w:ilvl="0" w:tplc="18D02D7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9DE42CA"/>
    <w:multiLevelType w:val="hybridMultilevel"/>
    <w:tmpl w:val="67AA642A"/>
    <w:lvl w:ilvl="0" w:tplc="6CE280D2">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15:restartNumberingAfterBreak="0">
    <w:nsid w:val="4AC11F83"/>
    <w:multiLevelType w:val="hybridMultilevel"/>
    <w:tmpl w:val="3FAE5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B5568"/>
    <w:multiLevelType w:val="hybridMultilevel"/>
    <w:tmpl w:val="7F28B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486157"/>
    <w:multiLevelType w:val="hybridMultilevel"/>
    <w:tmpl w:val="07BC2044"/>
    <w:lvl w:ilvl="0" w:tplc="0722F3F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5183D"/>
    <w:multiLevelType w:val="hybridMultilevel"/>
    <w:tmpl w:val="30CC7470"/>
    <w:lvl w:ilvl="0" w:tplc="FAA2B0C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2029FF"/>
    <w:multiLevelType w:val="hybridMultilevel"/>
    <w:tmpl w:val="F0BA9CA6"/>
    <w:lvl w:ilvl="0" w:tplc="64209E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402A4"/>
    <w:multiLevelType w:val="hybridMultilevel"/>
    <w:tmpl w:val="E0ACAC24"/>
    <w:lvl w:ilvl="0" w:tplc="1714E2D0">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0D35761"/>
    <w:multiLevelType w:val="hybridMultilevel"/>
    <w:tmpl w:val="C5945BAE"/>
    <w:lvl w:ilvl="0" w:tplc="2B98DA2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EB55479"/>
    <w:multiLevelType w:val="hybridMultilevel"/>
    <w:tmpl w:val="23DADDFE"/>
    <w:lvl w:ilvl="0" w:tplc="55BA54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FFD1F27"/>
    <w:multiLevelType w:val="hybridMultilevel"/>
    <w:tmpl w:val="21262EEA"/>
    <w:lvl w:ilvl="0" w:tplc="263C1C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D5EB8"/>
    <w:multiLevelType w:val="hybridMultilevel"/>
    <w:tmpl w:val="2110E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21B3EA1"/>
    <w:multiLevelType w:val="hybridMultilevel"/>
    <w:tmpl w:val="663A1BCE"/>
    <w:lvl w:ilvl="0" w:tplc="F6B8B132">
      <w:start w:val="1"/>
      <w:numFmt w:val="decimal"/>
      <w:lvlText w:val="%1)"/>
      <w:lvlJc w:val="left"/>
      <w:pPr>
        <w:ind w:left="1225" w:hanging="516"/>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3F13E61"/>
    <w:multiLevelType w:val="hybridMultilevel"/>
    <w:tmpl w:val="7678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20"/>
  </w:num>
  <w:num w:numId="4">
    <w:abstractNumId w:val="10"/>
  </w:num>
  <w:num w:numId="5">
    <w:abstractNumId w:val="12"/>
  </w:num>
  <w:num w:numId="6">
    <w:abstractNumId w:val="1"/>
  </w:num>
  <w:num w:numId="7">
    <w:abstractNumId w:val="11"/>
  </w:num>
  <w:num w:numId="8">
    <w:abstractNumId w:val="4"/>
  </w:num>
  <w:num w:numId="9">
    <w:abstractNumId w:val="0"/>
  </w:num>
  <w:num w:numId="10">
    <w:abstractNumId w:val="15"/>
  </w:num>
  <w:num w:numId="11">
    <w:abstractNumId w:val="14"/>
  </w:num>
  <w:num w:numId="12">
    <w:abstractNumId w:val="16"/>
  </w:num>
  <w:num w:numId="13">
    <w:abstractNumId w:val="7"/>
  </w:num>
  <w:num w:numId="14">
    <w:abstractNumId w:val="19"/>
  </w:num>
  <w:num w:numId="15">
    <w:abstractNumId w:val="5"/>
  </w:num>
  <w:num w:numId="16">
    <w:abstractNumId w:val="6"/>
  </w:num>
  <w:num w:numId="17">
    <w:abstractNumId w:val="3"/>
  </w:num>
  <w:num w:numId="18">
    <w:abstractNumId w:val="9"/>
  </w:num>
  <w:num w:numId="19">
    <w:abstractNumId w:val="2"/>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CA"/>
    <w:rsid w:val="00007449"/>
    <w:rsid w:val="000143AE"/>
    <w:rsid w:val="000145DA"/>
    <w:rsid w:val="0001615B"/>
    <w:rsid w:val="0001726F"/>
    <w:rsid w:val="00024ABA"/>
    <w:rsid w:val="000266EA"/>
    <w:rsid w:val="00030E08"/>
    <w:rsid w:val="0003369B"/>
    <w:rsid w:val="00035CC2"/>
    <w:rsid w:val="00036BA5"/>
    <w:rsid w:val="00040BEC"/>
    <w:rsid w:val="00044381"/>
    <w:rsid w:val="000454AF"/>
    <w:rsid w:val="00046BB6"/>
    <w:rsid w:val="00052353"/>
    <w:rsid w:val="00056D0F"/>
    <w:rsid w:val="000572E7"/>
    <w:rsid w:val="00060349"/>
    <w:rsid w:val="00065532"/>
    <w:rsid w:val="000660A6"/>
    <w:rsid w:val="00067EFB"/>
    <w:rsid w:val="00071C59"/>
    <w:rsid w:val="00074CD8"/>
    <w:rsid w:val="0007505E"/>
    <w:rsid w:val="000777F7"/>
    <w:rsid w:val="00081C5D"/>
    <w:rsid w:val="00081D81"/>
    <w:rsid w:val="00083556"/>
    <w:rsid w:val="000851D0"/>
    <w:rsid w:val="00086F5D"/>
    <w:rsid w:val="000878A3"/>
    <w:rsid w:val="00087EF4"/>
    <w:rsid w:val="00095968"/>
    <w:rsid w:val="000978DE"/>
    <w:rsid w:val="000A1DE0"/>
    <w:rsid w:val="000A2EE2"/>
    <w:rsid w:val="000A3B8A"/>
    <w:rsid w:val="000A5D99"/>
    <w:rsid w:val="000B108A"/>
    <w:rsid w:val="000B77A9"/>
    <w:rsid w:val="000C2E97"/>
    <w:rsid w:val="000C3A07"/>
    <w:rsid w:val="000C45A6"/>
    <w:rsid w:val="000C4EDC"/>
    <w:rsid w:val="000C7307"/>
    <w:rsid w:val="000D3338"/>
    <w:rsid w:val="000D67B7"/>
    <w:rsid w:val="000E0C6D"/>
    <w:rsid w:val="000E3487"/>
    <w:rsid w:val="000E4E97"/>
    <w:rsid w:val="000E5406"/>
    <w:rsid w:val="000F372E"/>
    <w:rsid w:val="000F41F9"/>
    <w:rsid w:val="00104805"/>
    <w:rsid w:val="001105FA"/>
    <w:rsid w:val="0011338C"/>
    <w:rsid w:val="00113D10"/>
    <w:rsid w:val="00115D9A"/>
    <w:rsid w:val="00116C7B"/>
    <w:rsid w:val="0012401C"/>
    <w:rsid w:val="00124EF8"/>
    <w:rsid w:val="00125745"/>
    <w:rsid w:val="001333BB"/>
    <w:rsid w:val="001345E6"/>
    <w:rsid w:val="00135EC9"/>
    <w:rsid w:val="001366D0"/>
    <w:rsid w:val="00136B18"/>
    <w:rsid w:val="001428DF"/>
    <w:rsid w:val="00142C08"/>
    <w:rsid w:val="00146F1E"/>
    <w:rsid w:val="00161AD6"/>
    <w:rsid w:val="001664FA"/>
    <w:rsid w:val="0017454F"/>
    <w:rsid w:val="00180AE1"/>
    <w:rsid w:val="001917B1"/>
    <w:rsid w:val="00191D53"/>
    <w:rsid w:val="0019254A"/>
    <w:rsid w:val="0019356A"/>
    <w:rsid w:val="00195CD6"/>
    <w:rsid w:val="001A0315"/>
    <w:rsid w:val="001A5075"/>
    <w:rsid w:val="001A5D35"/>
    <w:rsid w:val="001A6E11"/>
    <w:rsid w:val="001A6F5F"/>
    <w:rsid w:val="001A7759"/>
    <w:rsid w:val="001B1051"/>
    <w:rsid w:val="001B462D"/>
    <w:rsid w:val="001B5A2D"/>
    <w:rsid w:val="001C1827"/>
    <w:rsid w:val="001C319E"/>
    <w:rsid w:val="001C6B69"/>
    <w:rsid w:val="001D0372"/>
    <w:rsid w:val="001D1EE1"/>
    <w:rsid w:val="001D2050"/>
    <w:rsid w:val="001D4685"/>
    <w:rsid w:val="001D5B88"/>
    <w:rsid w:val="001E3E0F"/>
    <w:rsid w:val="001E4AA5"/>
    <w:rsid w:val="001F00A1"/>
    <w:rsid w:val="001F1EC9"/>
    <w:rsid w:val="001F551B"/>
    <w:rsid w:val="001F57C6"/>
    <w:rsid w:val="001F674C"/>
    <w:rsid w:val="001F67FC"/>
    <w:rsid w:val="001F7B89"/>
    <w:rsid w:val="00200D4D"/>
    <w:rsid w:val="002013BE"/>
    <w:rsid w:val="00202625"/>
    <w:rsid w:val="00206076"/>
    <w:rsid w:val="0021297C"/>
    <w:rsid w:val="00217479"/>
    <w:rsid w:val="00217643"/>
    <w:rsid w:val="002262E0"/>
    <w:rsid w:val="00227701"/>
    <w:rsid w:val="00232DA7"/>
    <w:rsid w:val="00234D4B"/>
    <w:rsid w:val="0023541D"/>
    <w:rsid w:val="002369DF"/>
    <w:rsid w:val="00241FAD"/>
    <w:rsid w:val="00242E14"/>
    <w:rsid w:val="002472F4"/>
    <w:rsid w:val="002502EE"/>
    <w:rsid w:val="00255DA2"/>
    <w:rsid w:val="00267621"/>
    <w:rsid w:val="002711C4"/>
    <w:rsid w:val="00272CCD"/>
    <w:rsid w:val="00276E76"/>
    <w:rsid w:val="00285912"/>
    <w:rsid w:val="00285FA8"/>
    <w:rsid w:val="00290483"/>
    <w:rsid w:val="0029072D"/>
    <w:rsid w:val="0029460A"/>
    <w:rsid w:val="00294861"/>
    <w:rsid w:val="00295DC0"/>
    <w:rsid w:val="0029631A"/>
    <w:rsid w:val="00297EDF"/>
    <w:rsid w:val="002A053F"/>
    <w:rsid w:val="002A1AC6"/>
    <w:rsid w:val="002A4612"/>
    <w:rsid w:val="002A4FBC"/>
    <w:rsid w:val="002B105C"/>
    <w:rsid w:val="002B14CC"/>
    <w:rsid w:val="002C11D9"/>
    <w:rsid w:val="002C2BDB"/>
    <w:rsid w:val="002C35B1"/>
    <w:rsid w:val="002C52B9"/>
    <w:rsid w:val="002D3DC2"/>
    <w:rsid w:val="002D510B"/>
    <w:rsid w:val="002D526E"/>
    <w:rsid w:val="002D5CC6"/>
    <w:rsid w:val="002E14E6"/>
    <w:rsid w:val="002E4EA6"/>
    <w:rsid w:val="002E5352"/>
    <w:rsid w:val="002E5423"/>
    <w:rsid w:val="002E66FB"/>
    <w:rsid w:val="002F34DE"/>
    <w:rsid w:val="002F3D6E"/>
    <w:rsid w:val="002F4CCD"/>
    <w:rsid w:val="00301313"/>
    <w:rsid w:val="00302013"/>
    <w:rsid w:val="0030228B"/>
    <w:rsid w:val="00305EF5"/>
    <w:rsid w:val="0030620D"/>
    <w:rsid w:val="00312C6D"/>
    <w:rsid w:val="00312F57"/>
    <w:rsid w:val="00314E85"/>
    <w:rsid w:val="00315DD3"/>
    <w:rsid w:val="00316A4B"/>
    <w:rsid w:val="00322BEF"/>
    <w:rsid w:val="00323C55"/>
    <w:rsid w:val="0032540D"/>
    <w:rsid w:val="003271C6"/>
    <w:rsid w:val="00330088"/>
    <w:rsid w:val="003312AF"/>
    <w:rsid w:val="003330CC"/>
    <w:rsid w:val="00337BC5"/>
    <w:rsid w:val="003435EA"/>
    <w:rsid w:val="00347437"/>
    <w:rsid w:val="00347A9D"/>
    <w:rsid w:val="00347E73"/>
    <w:rsid w:val="00350B2F"/>
    <w:rsid w:val="00350FB1"/>
    <w:rsid w:val="003515B7"/>
    <w:rsid w:val="00355C9A"/>
    <w:rsid w:val="00361619"/>
    <w:rsid w:val="00364C75"/>
    <w:rsid w:val="00366234"/>
    <w:rsid w:val="00370090"/>
    <w:rsid w:val="00376E25"/>
    <w:rsid w:val="00380CAE"/>
    <w:rsid w:val="0038365E"/>
    <w:rsid w:val="00386D9D"/>
    <w:rsid w:val="00391055"/>
    <w:rsid w:val="00393FF8"/>
    <w:rsid w:val="0039517A"/>
    <w:rsid w:val="0039668F"/>
    <w:rsid w:val="00396941"/>
    <w:rsid w:val="003A582E"/>
    <w:rsid w:val="003A7EA0"/>
    <w:rsid w:val="003B002E"/>
    <w:rsid w:val="003B0B6E"/>
    <w:rsid w:val="003B1AFD"/>
    <w:rsid w:val="003B30B1"/>
    <w:rsid w:val="003B3BFE"/>
    <w:rsid w:val="003B4EBD"/>
    <w:rsid w:val="003B70C9"/>
    <w:rsid w:val="003B7D42"/>
    <w:rsid w:val="003C2BC6"/>
    <w:rsid w:val="003C59D3"/>
    <w:rsid w:val="003D0FEB"/>
    <w:rsid w:val="003D1178"/>
    <w:rsid w:val="003D26AA"/>
    <w:rsid w:val="003D606E"/>
    <w:rsid w:val="003E1302"/>
    <w:rsid w:val="003E514B"/>
    <w:rsid w:val="003E54EF"/>
    <w:rsid w:val="003E56F4"/>
    <w:rsid w:val="003E673A"/>
    <w:rsid w:val="003F5A07"/>
    <w:rsid w:val="003F7E55"/>
    <w:rsid w:val="00403FA6"/>
    <w:rsid w:val="00404765"/>
    <w:rsid w:val="0041000B"/>
    <w:rsid w:val="00411E0F"/>
    <w:rsid w:val="004148D1"/>
    <w:rsid w:val="00415424"/>
    <w:rsid w:val="004204DC"/>
    <w:rsid w:val="0042101A"/>
    <w:rsid w:val="00424FDD"/>
    <w:rsid w:val="004273FF"/>
    <w:rsid w:val="0043113D"/>
    <w:rsid w:val="00431742"/>
    <w:rsid w:val="004318C4"/>
    <w:rsid w:val="00433720"/>
    <w:rsid w:val="00434872"/>
    <w:rsid w:val="004416A2"/>
    <w:rsid w:val="00441735"/>
    <w:rsid w:val="004458EE"/>
    <w:rsid w:val="00446208"/>
    <w:rsid w:val="00447174"/>
    <w:rsid w:val="00451CB1"/>
    <w:rsid w:val="00452416"/>
    <w:rsid w:val="00456BA9"/>
    <w:rsid w:val="00457962"/>
    <w:rsid w:val="00457B15"/>
    <w:rsid w:val="00457D93"/>
    <w:rsid w:val="00460D10"/>
    <w:rsid w:val="00462158"/>
    <w:rsid w:val="00462442"/>
    <w:rsid w:val="00463325"/>
    <w:rsid w:val="00464C53"/>
    <w:rsid w:val="00465FC1"/>
    <w:rsid w:val="00472515"/>
    <w:rsid w:val="0047661A"/>
    <w:rsid w:val="00477083"/>
    <w:rsid w:val="00481840"/>
    <w:rsid w:val="00484285"/>
    <w:rsid w:val="0048477B"/>
    <w:rsid w:val="00484EA3"/>
    <w:rsid w:val="00491A26"/>
    <w:rsid w:val="00495794"/>
    <w:rsid w:val="004961B0"/>
    <w:rsid w:val="00496B2A"/>
    <w:rsid w:val="00496F8A"/>
    <w:rsid w:val="004A1D1E"/>
    <w:rsid w:val="004A54E0"/>
    <w:rsid w:val="004B0755"/>
    <w:rsid w:val="004B13CC"/>
    <w:rsid w:val="004B2979"/>
    <w:rsid w:val="004B416A"/>
    <w:rsid w:val="004B4983"/>
    <w:rsid w:val="004B697F"/>
    <w:rsid w:val="004C0635"/>
    <w:rsid w:val="004C25C6"/>
    <w:rsid w:val="004C558B"/>
    <w:rsid w:val="004C6637"/>
    <w:rsid w:val="004C674C"/>
    <w:rsid w:val="004C6A6C"/>
    <w:rsid w:val="004D04E6"/>
    <w:rsid w:val="004D1359"/>
    <w:rsid w:val="004D429C"/>
    <w:rsid w:val="004E0540"/>
    <w:rsid w:val="004E2032"/>
    <w:rsid w:val="004E2BE0"/>
    <w:rsid w:val="004E5DEE"/>
    <w:rsid w:val="004E730D"/>
    <w:rsid w:val="004F270E"/>
    <w:rsid w:val="004F5424"/>
    <w:rsid w:val="004F6DA3"/>
    <w:rsid w:val="00502968"/>
    <w:rsid w:val="005033B4"/>
    <w:rsid w:val="00506BCC"/>
    <w:rsid w:val="00513726"/>
    <w:rsid w:val="00515CD7"/>
    <w:rsid w:val="0051640D"/>
    <w:rsid w:val="00516A3C"/>
    <w:rsid w:val="00522ADE"/>
    <w:rsid w:val="00522B36"/>
    <w:rsid w:val="00523D90"/>
    <w:rsid w:val="00527B9B"/>
    <w:rsid w:val="00530128"/>
    <w:rsid w:val="00543AF9"/>
    <w:rsid w:val="0055351E"/>
    <w:rsid w:val="00554345"/>
    <w:rsid w:val="00555BD0"/>
    <w:rsid w:val="00560FC3"/>
    <w:rsid w:val="005623B9"/>
    <w:rsid w:val="00573D10"/>
    <w:rsid w:val="005775AE"/>
    <w:rsid w:val="00577C27"/>
    <w:rsid w:val="00581AEE"/>
    <w:rsid w:val="00587353"/>
    <w:rsid w:val="00587874"/>
    <w:rsid w:val="005908D1"/>
    <w:rsid w:val="005955F7"/>
    <w:rsid w:val="005969E4"/>
    <w:rsid w:val="005A0DAD"/>
    <w:rsid w:val="005A170C"/>
    <w:rsid w:val="005A21D8"/>
    <w:rsid w:val="005A40D3"/>
    <w:rsid w:val="005A5360"/>
    <w:rsid w:val="005A76E2"/>
    <w:rsid w:val="005B2791"/>
    <w:rsid w:val="005B5671"/>
    <w:rsid w:val="005B728A"/>
    <w:rsid w:val="005C384A"/>
    <w:rsid w:val="005C4802"/>
    <w:rsid w:val="005C5EA0"/>
    <w:rsid w:val="005D2ED5"/>
    <w:rsid w:val="005D38DB"/>
    <w:rsid w:val="005D516C"/>
    <w:rsid w:val="005D6F8C"/>
    <w:rsid w:val="005E2B2A"/>
    <w:rsid w:val="005E4EF6"/>
    <w:rsid w:val="005F4C0D"/>
    <w:rsid w:val="005F619B"/>
    <w:rsid w:val="005F7B16"/>
    <w:rsid w:val="00600601"/>
    <w:rsid w:val="00603B03"/>
    <w:rsid w:val="006049FB"/>
    <w:rsid w:val="00613580"/>
    <w:rsid w:val="00613848"/>
    <w:rsid w:val="00614306"/>
    <w:rsid w:val="00614D70"/>
    <w:rsid w:val="00623F32"/>
    <w:rsid w:val="006329AF"/>
    <w:rsid w:val="00632F94"/>
    <w:rsid w:val="0063452A"/>
    <w:rsid w:val="0063558C"/>
    <w:rsid w:val="00640257"/>
    <w:rsid w:val="00640443"/>
    <w:rsid w:val="0064266F"/>
    <w:rsid w:val="00644115"/>
    <w:rsid w:val="006473D8"/>
    <w:rsid w:val="006506BD"/>
    <w:rsid w:val="00653FD0"/>
    <w:rsid w:val="0065612F"/>
    <w:rsid w:val="00657C06"/>
    <w:rsid w:val="00660C85"/>
    <w:rsid w:val="0066114C"/>
    <w:rsid w:val="00665BCE"/>
    <w:rsid w:val="00670A5D"/>
    <w:rsid w:val="00671CE3"/>
    <w:rsid w:val="00672BCD"/>
    <w:rsid w:val="006738C6"/>
    <w:rsid w:val="00683263"/>
    <w:rsid w:val="0068552C"/>
    <w:rsid w:val="00685766"/>
    <w:rsid w:val="00685FDA"/>
    <w:rsid w:val="0068702A"/>
    <w:rsid w:val="00690579"/>
    <w:rsid w:val="00693274"/>
    <w:rsid w:val="00693C41"/>
    <w:rsid w:val="006A25C7"/>
    <w:rsid w:val="006A2AFA"/>
    <w:rsid w:val="006A59DC"/>
    <w:rsid w:val="006B27F1"/>
    <w:rsid w:val="006B2B21"/>
    <w:rsid w:val="006B467D"/>
    <w:rsid w:val="006C15A1"/>
    <w:rsid w:val="006C1CF3"/>
    <w:rsid w:val="006C207B"/>
    <w:rsid w:val="006C3177"/>
    <w:rsid w:val="006C7E2F"/>
    <w:rsid w:val="006D0E1A"/>
    <w:rsid w:val="006D1816"/>
    <w:rsid w:val="006D2228"/>
    <w:rsid w:val="006D27A6"/>
    <w:rsid w:val="006D55D2"/>
    <w:rsid w:val="006D5B6F"/>
    <w:rsid w:val="006E2BA3"/>
    <w:rsid w:val="006E5D45"/>
    <w:rsid w:val="006E5DAA"/>
    <w:rsid w:val="006E6421"/>
    <w:rsid w:val="006F22C9"/>
    <w:rsid w:val="006F2C5E"/>
    <w:rsid w:val="006F4355"/>
    <w:rsid w:val="006F4D22"/>
    <w:rsid w:val="006F5622"/>
    <w:rsid w:val="006F6210"/>
    <w:rsid w:val="006F7C75"/>
    <w:rsid w:val="00712985"/>
    <w:rsid w:val="00721380"/>
    <w:rsid w:val="007218EA"/>
    <w:rsid w:val="007233B0"/>
    <w:rsid w:val="00723C91"/>
    <w:rsid w:val="00726672"/>
    <w:rsid w:val="00727D6C"/>
    <w:rsid w:val="00727E2D"/>
    <w:rsid w:val="00740440"/>
    <w:rsid w:val="007432C4"/>
    <w:rsid w:val="00743402"/>
    <w:rsid w:val="00745D46"/>
    <w:rsid w:val="0074622E"/>
    <w:rsid w:val="00746C6C"/>
    <w:rsid w:val="00750465"/>
    <w:rsid w:val="007521A6"/>
    <w:rsid w:val="007570DA"/>
    <w:rsid w:val="0076164F"/>
    <w:rsid w:val="00764438"/>
    <w:rsid w:val="00770C90"/>
    <w:rsid w:val="00772718"/>
    <w:rsid w:val="00786F49"/>
    <w:rsid w:val="00791BDF"/>
    <w:rsid w:val="00795ECC"/>
    <w:rsid w:val="007961A8"/>
    <w:rsid w:val="00797C92"/>
    <w:rsid w:val="007A0AA5"/>
    <w:rsid w:val="007A1351"/>
    <w:rsid w:val="007A5FDD"/>
    <w:rsid w:val="007A73C6"/>
    <w:rsid w:val="007A7C0B"/>
    <w:rsid w:val="007B0D2D"/>
    <w:rsid w:val="007B60CB"/>
    <w:rsid w:val="007C10B1"/>
    <w:rsid w:val="007C4D91"/>
    <w:rsid w:val="007C67E1"/>
    <w:rsid w:val="007D515B"/>
    <w:rsid w:val="007E1398"/>
    <w:rsid w:val="007F6445"/>
    <w:rsid w:val="00800657"/>
    <w:rsid w:val="008015CD"/>
    <w:rsid w:val="00802EED"/>
    <w:rsid w:val="0080300F"/>
    <w:rsid w:val="00803150"/>
    <w:rsid w:val="008043CA"/>
    <w:rsid w:val="008045E0"/>
    <w:rsid w:val="00804D98"/>
    <w:rsid w:val="00806E48"/>
    <w:rsid w:val="00811C57"/>
    <w:rsid w:val="00815AB2"/>
    <w:rsid w:val="00816725"/>
    <w:rsid w:val="008223C8"/>
    <w:rsid w:val="008273AF"/>
    <w:rsid w:val="00827E3E"/>
    <w:rsid w:val="00835026"/>
    <w:rsid w:val="0084125C"/>
    <w:rsid w:val="008429FF"/>
    <w:rsid w:val="00843547"/>
    <w:rsid w:val="00844CF5"/>
    <w:rsid w:val="00850C0F"/>
    <w:rsid w:val="00850E40"/>
    <w:rsid w:val="0085281B"/>
    <w:rsid w:val="00856EC9"/>
    <w:rsid w:val="0085779A"/>
    <w:rsid w:val="00860C94"/>
    <w:rsid w:val="008630E4"/>
    <w:rsid w:val="00866EA0"/>
    <w:rsid w:val="00874EF2"/>
    <w:rsid w:val="008775FF"/>
    <w:rsid w:val="00882AA0"/>
    <w:rsid w:val="00883F75"/>
    <w:rsid w:val="00887387"/>
    <w:rsid w:val="0089124D"/>
    <w:rsid w:val="00891A36"/>
    <w:rsid w:val="00892233"/>
    <w:rsid w:val="00893E60"/>
    <w:rsid w:val="00894C35"/>
    <w:rsid w:val="00895115"/>
    <w:rsid w:val="00897763"/>
    <w:rsid w:val="008A177B"/>
    <w:rsid w:val="008B3AD3"/>
    <w:rsid w:val="008B54C4"/>
    <w:rsid w:val="008C170A"/>
    <w:rsid w:val="008C3408"/>
    <w:rsid w:val="008C467E"/>
    <w:rsid w:val="008C48FA"/>
    <w:rsid w:val="008C6134"/>
    <w:rsid w:val="008C71C8"/>
    <w:rsid w:val="008C7317"/>
    <w:rsid w:val="008D24DC"/>
    <w:rsid w:val="008D3211"/>
    <w:rsid w:val="008D6445"/>
    <w:rsid w:val="008D745E"/>
    <w:rsid w:val="008E5574"/>
    <w:rsid w:val="008E5C89"/>
    <w:rsid w:val="008E74A2"/>
    <w:rsid w:val="008F031F"/>
    <w:rsid w:val="008F0900"/>
    <w:rsid w:val="00901A7F"/>
    <w:rsid w:val="00905915"/>
    <w:rsid w:val="00907486"/>
    <w:rsid w:val="0091102C"/>
    <w:rsid w:val="0091313C"/>
    <w:rsid w:val="00916727"/>
    <w:rsid w:val="00917F18"/>
    <w:rsid w:val="00921D10"/>
    <w:rsid w:val="00924466"/>
    <w:rsid w:val="00926D50"/>
    <w:rsid w:val="00926F7E"/>
    <w:rsid w:val="00927832"/>
    <w:rsid w:val="00936BF4"/>
    <w:rsid w:val="00941EB3"/>
    <w:rsid w:val="00945292"/>
    <w:rsid w:val="00945954"/>
    <w:rsid w:val="00952461"/>
    <w:rsid w:val="009528A5"/>
    <w:rsid w:val="0095375D"/>
    <w:rsid w:val="0095605F"/>
    <w:rsid w:val="00960EEC"/>
    <w:rsid w:val="00961275"/>
    <w:rsid w:val="00961403"/>
    <w:rsid w:val="00962B69"/>
    <w:rsid w:val="00962F6B"/>
    <w:rsid w:val="00964B36"/>
    <w:rsid w:val="009668F3"/>
    <w:rsid w:val="0096748C"/>
    <w:rsid w:val="00970359"/>
    <w:rsid w:val="00970AD7"/>
    <w:rsid w:val="009716D7"/>
    <w:rsid w:val="00977CE1"/>
    <w:rsid w:val="00986234"/>
    <w:rsid w:val="00986D29"/>
    <w:rsid w:val="009949C0"/>
    <w:rsid w:val="00996D7E"/>
    <w:rsid w:val="009A1FA1"/>
    <w:rsid w:val="009A66D9"/>
    <w:rsid w:val="009B3A29"/>
    <w:rsid w:val="009B7F85"/>
    <w:rsid w:val="009C0709"/>
    <w:rsid w:val="009C3FBF"/>
    <w:rsid w:val="009C4428"/>
    <w:rsid w:val="009C69BD"/>
    <w:rsid w:val="009D0E4F"/>
    <w:rsid w:val="009D4921"/>
    <w:rsid w:val="009D66DE"/>
    <w:rsid w:val="009E0310"/>
    <w:rsid w:val="009E1D07"/>
    <w:rsid w:val="009E2812"/>
    <w:rsid w:val="009E52B0"/>
    <w:rsid w:val="009F052D"/>
    <w:rsid w:val="009F5020"/>
    <w:rsid w:val="00A01D6D"/>
    <w:rsid w:val="00A03E6F"/>
    <w:rsid w:val="00A04E57"/>
    <w:rsid w:val="00A06FDB"/>
    <w:rsid w:val="00A11D56"/>
    <w:rsid w:val="00A14D22"/>
    <w:rsid w:val="00A22770"/>
    <w:rsid w:val="00A23324"/>
    <w:rsid w:val="00A2468B"/>
    <w:rsid w:val="00A25ACC"/>
    <w:rsid w:val="00A2605E"/>
    <w:rsid w:val="00A26590"/>
    <w:rsid w:val="00A2692A"/>
    <w:rsid w:val="00A343C2"/>
    <w:rsid w:val="00A34726"/>
    <w:rsid w:val="00A41C9F"/>
    <w:rsid w:val="00A43A44"/>
    <w:rsid w:val="00A472FF"/>
    <w:rsid w:val="00A47C14"/>
    <w:rsid w:val="00A52547"/>
    <w:rsid w:val="00A55D3C"/>
    <w:rsid w:val="00A60AA5"/>
    <w:rsid w:val="00A62A05"/>
    <w:rsid w:val="00A66DA5"/>
    <w:rsid w:val="00A6798A"/>
    <w:rsid w:val="00A7226B"/>
    <w:rsid w:val="00A727F2"/>
    <w:rsid w:val="00A72B74"/>
    <w:rsid w:val="00A739CF"/>
    <w:rsid w:val="00A74E52"/>
    <w:rsid w:val="00A81C5F"/>
    <w:rsid w:val="00A84098"/>
    <w:rsid w:val="00A86B75"/>
    <w:rsid w:val="00A86C93"/>
    <w:rsid w:val="00A87785"/>
    <w:rsid w:val="00A9036B"/>
    <w:rsid w:val="00A90F73"/>
    <w:rsid w:val="00A94C4E"/>
    <w:rsid w:val="00A95A4D"/>
    <w:rsid w:val="00A97F6B"/>
    <w:rsid w:val="00AA26A5"/>
    <w:rsid w:val="00AA57A7"/>
    <w:rsid w:val="00AB0BC7"/>
    <w:rsid w:val="00AB10BE"/>
    <w:rsid w:val="00AB2760"/>
    <w:rsid w:val="00AB35DE"/>
    <w:rsid w:val="00AB3AB7"/>
    <w:rsid w:val="00AB4E19"/>
    <w:rsid w:val="00AC07AF"/>
    <w:rsid w:val="00AC32E8"/>
    <w:rsid w:val="00AC3B5F"/>
    <w:rsid w:val="00AC5C5D"/>
    <w:rsid w:val="00AC782B"/>
    <w:rsid w:val="00AD4B57"/>
    <w:rsid w:val="00AD7581"/>
    <w:rsid w:val="00AE0CC8"/>
    <w:rsid w:val="00AE1B8F"/>
    <w:rsid w:val="00AE59AA"/>
    <w:rsid w:val="00AE7938"/>
    <w:rsid w:val="00AF132F"/>
    <w:rsid w:val="00AF1475"/>
    <w:rsid w:val="00AF4957"/>
    <w:rsid w:val="00AF49B5"/>
    <w:rsid w:val="00AF6380"/>
    <w:rsid w:val="00AF785F"/>
    <w:rsid w:val="00B04E65"/>
    <w:rsid w:val="00B054A9"/>
    <w:rsid w:val="00B061AC"/>
    <w:rsid w:val="00B07977"/>
    <w:rsid w:val="00B11B8F"/>
    <w:rsid w:val="00B240A0"/>
    <w:rsid w:val="00B248BA"/>
    <w:rsid w:val="00B24BC5"/>
    <w:rsid w:val="00B271C3"/>
    <w:rsid w:val="00B27E47"/>
    <w:rsid w:val="00B31BC3"/>
    <w:rsid w:val="00B31FA8"/>
    <w:rsid w:val="00B353E5"/>
    <w:rsid w:val="00B35571"/>
    <w:rsid w:val="00B35CD1"/>
    <w:rsid w:val="00B43C03"/>
    <w:rsid w:val="00B441FF"/>
    <w:rsid w:val="00B47229"/>
    <w:rsid w:val="00B509BF"/>
    <w:rsid w:val="00B52F14"/>
    <w:rsid w:val="00B60A28"/>
    <w:rsid w:val="00B60DC7"/>
    <w:rsid w:val="00B621B7"/>
    <w:rsid w:val="00B63583"/>
    <w:rsid w:val="00B64FAE"/>
    <w:rsid w:val="00B70E66"/>
    <w:rsid w:val="00B749D7"/>
    <w:rsid w:val="00B75260"/>
    <w:rsid w:val="00B80481"/>
    <w:rsid w:val="00B8694E"/>
    <w:rsid w:val="00B87AB3"/>
    <w:rsid w:val="00B913F5"/>
    <w:rsid w:val="00B937B6"/>
    <w:rsid w:val="00B93A9F"/>
    <w:rsid w:val="00B972BD"/>
    <w:rsid w:val="00BA1902"/>
    <w:rsid w:val="00BA1E1C"/>
    <w:rsid w:val="00BA6007"/>
    <w:rsid w:val="00BA6A01"/>
    <w:rsid w:val="00BB04C1"/>
    <w:rsid w:val="00BB3974"/>
    <w:rsid w:val="00BB49EB"/>
    <w:rsid w:val="00BB4EDA"/>
    <w:rsid w:val="00BD012F"/>
    <w:rsid w:val="00BD2CF2"/>
    <w:rsid w:val="00BD5526"/>
    <w:rsid w:val="00BD70D2"/>
    <w:rsid w:val="00BE0876"/>
    <w:rsid w:val="00BE180E"/>
    <w:rsid w:val="00BE2985"/>
    <w:rsid w:val="00BE2FB3"/>
    <w:rsid w:val="00BE4780"/>
    <w:rsid w:val="00BE76C2"/>
    <w:rsid w:val="00BF0E3E"/>
    <w:rsid w:val="00BF33F5"/>
    <w:rsid w:val="00C0214C"/>
    <w:rsid w:val="00C04BF8"/>
    <w:rsid w:val="00C05999"/>
    <w:rsid w:val="00C07446"/>
    <w:rsid w:val="00C100A8"/>
    <w:rsid w:val="00C10BE8"/>
    <w:rsid w:val="00C10C73"/>
    <w:rsid w:val="00C14D01"/>
    <w:rsid w:val="00C229A6"/>
    <w:rsid w:val="00C22E56"/>
    <w:rsid w:val="00C24001"/>
    <w:rsid w:val="00C24F37"/>
    <w:rsid w:val="00C31A77"/>
    <w:rsid w:val="00C322DF"/>
    <w:rsid w:val="00C34B10"/>
    <w:rsid w:val="00C34C71"/>
    <w:rsid w:val="00C350D4"/>
    <w:rsid w:val="00C4011C"/>
    <w:rsid w:val="00C41EB7"/>
    <w:rsid w:val="00C42F55"/>
    <w:rsid w:val="00C43DE4"/>
    <w:rsid w:val="00C50E40"/>
    <w:rsid w:val="00C51A72"/>
    <w:rsid w:val="00C54290"/>
    <w:rsid w:val="00C54C73"/>
    <w:rsid w:val="00C563A4"/>
    <w:rsid w:val="00C6135F"/>
    <w:rsid w:val="00C62CA8"/>
    <w:rsid w:val="00C6472F"/>
    <w:rsid w:val="00C6621E"/>
    <w:rsid w:val="00C706B8"/>
    <w:rsid w:val="00C70875"/>
    <w:rsid w:val="00C75433"/>
    <w:rsid w:val="00C7561B"/>
    <w:rsid w:val="00C83324"/>
    <w:rsid w:val="00C92909"/>
    <w:rsid w:val="00C93D32"/>
    <w:rsid w:val="00C96A2A"/>
    <w:rsid w:val="00CA0EBF"/>
    <w:rsid w:val="00CA6855"/>
    <w:rsid w:val="00CA761C"/>
    <w:rsid w:val="00CA79EB"/>
    <w:rsid w:val="00CB043F"/>
    <w:rsid w:val="00CB0726"/>
    <w:rsid w:val="00CB1218"/>
    <w:rsid w:val="00CB14AD"/>
    <w:rsid w:val="00CB4504"/>
    <w:rsid w:val="00CB5BBD"/>
    <w:rsid w:val="00CB735A"/>
    <w:rsid w:val="00CC0C4C"/>
    <w:rsid w:val="00CC16C7"/>
    <w:rsid w:val="00CC3A32"/>
    <w:rsid w:val="00CC3A4A"/>
    <w:rsid w:val="00CC3BE3"/>
    <w:rsid w:val="00CD0DB5"/>
    <w:rsid w:val="00CD1B47"/>
    <w:rsid w:val="00CD52E0"/>
    <w:rsid w:val="00CE0E5F"/>
    <w:rsid w:val="00CE1562"/>
    <w:rsid w:val="00CE33C9"/>
    <w:rsid w:val="00CE44B3"/>
    <w:rsid w:val="00CE5CD5"/>
    <w:rsid w:val="00CF107D"/>
    <w:rsid w:val="00CF144A"/>
    <w:rsid w:val="00CF14FE"/>
    <w:rsid w:val="00CF3D2E"/>
    <w:rsid w:val="00CF4078"/>
    <w:rsid w:val="00D00588"/>
    <w:rsid w:val="00D11137"/>
    <w:rsid w:val="00D11EA0"/>
    <w:rsid w:val="00D13361"/>
    <w:rsid w:val="00D161BE"/>
    <w:rsid w:val="00D1676C"/>
    <w:rsid w:val="00D20B8A"/>
    <w:rsid w:val="00D23454"/>
    <w:rsid w:val="00D2545B"/>
    <w:rsid w:val="00D26C99"/>
    <w:rsid w:val="00D3096C"/>
    <w:rsid w:val="00D31218"/>
    <w:rsid w:val="00D3388F"/>
    <w:rsid w:val="00D339C8"/>
    <w:rsid w:val="00D35CF9"/>
    <w:rsid w:val="00D37327"/>
    <w:rsid w:val="00D42845"/>
    <w:rsid w:val="00D439B5"/>
    <w:rsid w:val="00D478D3"/>
    <w:rsid w:val="00D523BA"/>
    <w:rsid w:val="00D61B46"/>
    <w:rsid w:val="00D64245"/>
    <w:rsid w:val="00D670DC"/>
    <w:rsid w:val="00D67398"/>
    <w:rsid w:val="00D75B49"/>
    <w:rsid w:val="00D771E2"/>
    <w:rsid w:val="00D77582"/>
    <w:rsid w:val="00D800F7"/>
    <w:rsid w:val="00D800F8"/>
    <w:rsid w:val="00D802FD"/>
    <w:rsid w:val="00D90961"/>
    <w:rsid w:val="00D95DE1"/>
    <w:rsid w:val="00DA0DA2"/>
    <w:rsid w:val="00DA434E"/>
    <w:rsid w:val="00DA5222"/>
    <w:rsid w:val="00DB31B2"/>
    <w:rsid w:val="00DB3682"/>
    <w:rsid w:val="00DC47C7"/>
    <w:rsid w:val="00DC5D0B"/>
    <w:rsid w:val="00DD0210"/>
    <w:rsid w:val="00DD070A"/>
    <w:rsid w:val="00DD0893"/>
    <w:rsid w:val="00DD1016"/>
    <w:rsid w:val="00DD3DB0"/>
    <w:rsid w:val="00DE3742"/>
    <w:rsid w:val="00DF0D1B"/>
    <w:rsid w:val="00DF29AB"/>
    <w:rsid w:val="00DF30C2"/>
    <w:rsid w:val="00DF31ED"/>
    <w:rsid w:val="00DF50E3"/>
    <w:rsid w:val="00DF697E"/>
    <w:rsid w:val="00E02054"/>
    <w:rsid w:val="00E0350E"/>
    <w:rsid w:val="00E03A08"/>
    <w:rsid w:val="00E04F69"/>
    <w:rsid w:val="00E1283A"/>
    <w:rsid w:val="00E14CBA"/>
    <w:rsid w:val="00E21530"/>
    <w:rsid w:val="00E2155C"/>
    <w:rsid w:val="00E22AAD"/>
    <w:rsid w:val="00E237BD"/>
    <w:rsid w:val="00E26F75"/>
    <w:rsid w:val="00E306B2"/>
    <w:rsid w:val="00E315F9"/>
    <w:rsid w:val="00E31601"/>
    <w:rsid w:val="00E32D21"/>
    <w:rsid w:val="00E3366C"/>
    <w:rsid w:val="00E355A2"/>
    <w:rsid w:val="00E35FB3"/>
    <w:rsid w:val="00E41C7B"/>
    <w:rsid w:val="00E43D80"/>
    <w:rsid w:val="00E5380C"/>
    <w:rsid w:val="00E53DAF"/>
    <w:rsid w:val="00E55586"/>
    <w:rsid w:val="00E5577A"/>
    <w:rsid w:val="00E618AD"/>
    <w:rsid w:val="00E65F60"/>
    <w:rsid w:val="00E67FC3"/>
    <w:rsid w:val="00E716B3"/>
    <w:rsid w:val="00E71FA7"/>
    <w:rsid w:val="00E72036"/>
    <w:rsid w:val="00E740EE"/>
    <w:rsid w:val="00E751D4"/>
    <w:rsid w:val="00E77EF4"/>
    <w:rsid w:val="00E83229"/>
    <w:rsid w:val="00E83715"/>
    <w:rsid w:val="00E87E56"/>
    <w:rsid w:val="00E87EA2"/>
    <w:rsid w:val="00E915BB"/>
    <w:rsid w:val="00E91D03"/>
    <w:rsid w:val="00E94391"/>
    <w:rsid w:val="00EA0CA5"/>
    <w:rsid w:val="00EA20F5"/>
    <w:rsid w:val="00EA24A6"/>
    <w:rsid w:val="00EA2B22"/>
    <w:rsid w:val="00EA4775"/>
    <w:rsid w:val="00EA4B94"/>
    <w:rsid w:val="00EA4CCF"/>
    <w:rsid w:val="00EA6247"/>
    <w:rsid w:val="00EA6E23"/>
    <w:rsid w:val="00EA7E40"/>
    <w:rsid w:val="00EB03ED"/>
    <w:rsid w:val="00EB1F17"/>
    <w:rsid w:val="00EB2D39"/>
    <w:rsid w:val="00EC3B36"/>
    <w:rsid w:val="00EC7B86"/>
    <w:rsid w:val="00ED1BDD"/>
    <w:rsid w:val="00ED20B8"/>
    <w:rsid w:val="00ED2CD8"/>
    <w:rsid w:val="00ED6FA2"/>
    <w:rsid w:val="00ED74BC"/>
    <w:rsid w:val="00ED76EC"/>
    <w:rsid w:val="00EE13B0"/>
    <w:rsid w:val="00EE4105"/>
    <w:rsid w:val="00EE59FA"/>
    <w:rsid w:val="00EF1F2F"/>
    <w:rsid w:val="00EF34DA"/>
    <w:rsid w:val="00EF42DE"/>
    <w:rsid w:val="00EF48DB"/>
    <w:rsid w:val="00F00828"/>
    <w:rsid w:val="00F040A1"/>
    <w:rsid w:val="00F145BB"/>
    <w:rsid w:val="00F1478C"/>
    <w:rsid w:val="00F16DC3"/>
    <w:rsid w:val="00F20137"/>
    <w:rsid w:val="00F235B6"/>
    <w:rsid w:val="00F30D15"/>
    <w:rsid w:val="00F32E96"/>
    <w:rsid w:val="00F33370"/>
    <w:rsid w:val="00F352F3"/>
    <w:rsid w:val="00F36046"/>
    <w:rsid w:val="00F4365D"/>
    <w:rsid w:val="00F538CE"/>
    <w:rsid w:val="00F54156"/>
    <w:rsid w:val="00F552F7"/>
    <w:rsid w:val="00F61B6F"/>
    <w:rsid w:val="00F62812"/>
    <w:rsid w:val="00F648A8"/>
    <w:rsid w:val="00F660C9"/>
    <w:rsid w:val="00F73F0A"/>
    <w:rsid w:val="00F75BDF"/>
    <w:rsid w:val="00F75C59"/>
    <w:rsid w:val="00F84399"/>
    <w:rsid w:val="00F8471F"/>
    <w:rsid w:val="00F87081"/>
    <w:rsid w:val="00F87BBC"/>
    <w:rsid w:val="00F911B5"/>
    <w:rsid w:val="00F93A15"/>
    <w:rsid w:val="00F9500D"/>
    <w:rsid w:val="00F97CED"/>
    <w:rsid w:val="00FA4ECE"/>
    <w:rsid w:val="00FA6132"/>
    <w:rsid w:val="00FB011A"/>
    <w:rsid w:val="00FB73C2"/>
    <w:rsid w:val="00FB7A3D"/>
    <w:rsid w:val="00FC1995"/>
    <w:rsid w:val="00FC4940"/>
    <w:rsid w:val="00FD2DCB"/>
    <w:rsid w:val="00FD608C"/>
    <w:rsid w:val="00FE04F5"/>
    <w:rsid w:val="00FE3FF9"/>
    <w:rsid w:val="00FE5FFD"/>
    <w:rsid w:val="00FE698D"/>
    <w:rsid w:val="00FF16EB"/>
    <w:rsid w:val="00FF39E2"/>
    <w:rsid w:val="00FF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BFE3A9"/>
  <w15:docId w15:val="{79BFD893-C006-400D-A200-32097D2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940"/>
    <w:rPr>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1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table" w:styleId="a3">
    <w:name w:val="Table Grid"/>
    <w:basedOn w:val="a1"/>
    <w:uiPriority w:val="59"/>
    <w:rsid w:val="00DC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B31B2"/>
    <w:pPr>
      <w:tabs>
        <w:tab w:val="center" w:pos="4677"/>
        <w:tab w:val="right" w:pos="9355"/>
      </w:tabs>
    </w:pPr>
  </w:style>
  <w:style w:type="character" w:styleId="a5">
    <w:name w:val="page number"/>
    <w:basedOn w:val="a0"/>
    <w:rsid w:val="00DB31B2"/>
  </w:style>
  <w:style w:type="paragraph" w:styleId="a6">
    <w:name w:val="footer"/>
    <w:basedOn w:val="a"/>
    <w:rsid w:val="00DB31B2"/>
    <w:pPr>
      <w:tabs>
        <w:tab w:val="center" w:pos="4677"/>
        <w:tab w:val="right" w:pos="9355"/>
      </w:tabs>
    </w:pPr>
  </w:style>
  <w:style w:type="paragraph" w:styleId="2">
    <w:name w:val="Body Text Indent 2"/>
    <w:basedOn w:val="a"/>
    <w:link w:val="20"/>
    <w:rsid w:val="00DB31B2"/>
    <w:pPr>
      <w:widowControl w:val="0"/>
      <w:autoSpaceDE w:val="0"/>
      <w:autoSpaceDN w:val="0"/>
      <w:adjustRightInd w:val="0"/>
      <w:spacing w:after="120" w:line="480" w:lineRule="auto"/>
      <w:ind w:left="283"/>
    </w:pPr>
    <w:rPr>
      <w:sz w:val="20"/>
      <w:szCs w:val="20"/>
    </w:rPr>
  </w:style>
  <w:style w:type="paragraph" w:customStyle="1" w:styleId="StyleZakonu">
    <w:name w:val="StyleZakonu"/>
    <w:basedOn w:val="a"/>
    <w:rsid w:val="00740440"/>
    <w:pPr>
      <w:spacing w:after="60" w:line="220" w:lineRule="exact"/>
      <w:ind w:firstLine="284"/>
      <w:jc w:val="both"/>
    </w:pPr>
    <w:rPr>
      <w:sz w:val="20"/>
      <w:szCs w:val="20"/>
    </w:rPr>
  </w:style>
  <w:style w:type="paragraph" w:styleId="a7">
    <w:name w:val="Body Text Indent"/>
    <w:basedOn w:val="a"/>
    <w:link w:val="a8"/>
    <w:rsid w:val="00740440"/>
    <w:pPr>
      <w:spacing w:after="120"/>
      <w:ind w:left="283"/>
    </w:pPr>
  </w:style>
  <w:style w:type="paragraph" w:styleId="a9">
    <w:name w:val="Balloon Text"/>
    <w:basedOn w:val="a"/>
    <w:semiHidden/>
    <w:rsid w:val="00FB73C2"/>
    <w:rPr>
      <w:rFonts w:ascii="Tahoma" w:hAnsi="Tahoma" w:cs="Tahoma"/>
      <w:sz w:val="16"/>
      <w:szCs w:val="16"/>
    </w:rPr>
  </w:style>
  <w:style w:type="paragraph" w:styleId="aa">
    <w:name w:val="Body Text"/>
    <w:basedOn w:val="a"/>
    <w:link w:val="ab"/>
    <w:rsid w:val="004416A2"/>
    <w:pPr>
      <w:spacing w:after="120"/>
    </w:pPr>
  </w:style>
  <w:style w:type="character" w:customStyle="1" w:styleId="ab">
    <w:name w:val="Основной текст Знак"/>
    <w:link w:val="aa"/>
    <w:rsid w:val="004416A2"/>
    <w:rPr>
      <w:sz w:val="24"/>
      <w:szCs w:val="24"/>
    </w:rPr>
  </w:style>
  <w:style w:type="character" w:customStyle="1" w:styleId="a8">
    <w:name w:val="Основной текст с отступом Знак"/>
    <w:link w:val="a7"/>
    <w:rsid w:val="008F0900"/>
    <w:rPr>
      <w:sz w:val="24"/>
      <w:szCs w:val="24"/>
      <w:lang w:val="uk-UA"/>
    </w:rPr>
  </w:style>
  <w:style w:type="paragraph" w:styleId="ac">
    <w:name w:val="Plain Text"/>
    <w:basedOn w:val="a"/>
    <w:link w:val="ad"/>
    <w:rsid w:val="00E26F75"/>
    <w:rPr>
      <w:rFonts w:ascii="Courier New" w:hAnsi="Courier New"/>
      <w:sz w:val="20"/>
      <w:szCs w:val="20"/>
    </w:rPr>
  </w:style>
  <w:style w:type="character" w:customStyle="1" w:styleId="ad">
    <w:name w:val="Текст Знак"/>
    <w:link w:val="ac"/>
    <w:rsid w:val="00E26F75"/>
    <w:rPr>
      <w:rFonts w:ascii="Courier New" w:hAnsi="Courier New"/>
      <w:lang w:eastAsia="ru-RU"/>
    </w:rPr>
  </w:style>
  <w:style w:type="paragraph" w:customStyle="1" w:styleId="rvps2">
    <w:name w:val="rvps2"/>
    <w:basedOn w:val="a"/>
    <w:rsid w:val="004F6DA3"/>
    <w:pPr>
      <w:spacing w:before="100" w:beforeAutospacing="1" w:after="100" w:afterAutospacing="1"/>
    </w:pPr>
    <w:rPr>
      <w:lang w:eastAsia="uk-UA"/>
    </w:rPr>
  </w:style>
  <w:style w:type="character" w:customStyle="1" w:styleId="rvts9">
    <w:name w:val="rvts9"/>
    <w:rsid w:val="004F6DA3"/>
  </w:style>
  <w:style w:type="character" w:customStyle="1" w:styleId="apple-converted-space">
    <w:name w:val="apple-converted-space"/>
    <w:rsid w:val="004F6DA3"/>
  </w:style>
  <w:style w:type="paragraph" w:styleId="ae">
    <w:name w:val="List Paragraph"/>
    <w:basedOn w:val="a"/>
    <w:uiPriority w:val="34"/>
    <w:qFormat/>
    <w:rsid w:val="00D11137"/>
    <w:pPr>
      <w:spacing w:after="200" w:line="276" w:lineRule="auto"/>
      <w:ind w:left="720"/>
      <w:contextualSpacing/>
    </w:pPr>
    <w:rPr>
      <w:rFonts w:ascii="Calibri" w:eastAsia="Calibri" w:hAnsi="Calibri"/>
      <w:sz w:val="22"/>
      <w:szCs w:val="22"/>
      <w:lang w:eastAsia="en-US"/>
    </w:rPr>
  </w:style>
  <w:style w:type="character" w:customStyle="1" w:styleId="20">
    <w:name w:val="Основной текст с отступом 2 Знак"/>
    <w:link w:val="2"/>
    <w:rsid w:val="00E5380C"/>
    <w:rPr>
      <w:lang w:eastAsia="ru-RU"/>
    </w:rPr>
  </w:style>
  <w:style w:type="character" w:customStyle="1" w:styleId="af">
    <w:name w:val="Основной текст_"/>
    <w:link w:val="1"/>
    <w:rsid w:val="008D24DC"/>
    <w:rPr>
      <w:spacing w:val="5"/>
      <w:sz w:val="23"/>
      <w:szCs w:val="23"/>
      <w:shd w:val="clear" w:color="auto" w:fill="FFFFFF"/>
    </w:rPr>
  </w:style>
  <w:style w:type="paragraph" w:customStyle="1" w:styleId="1">
    <w:name w:val="Основной текст1"/>
    <w:basedOn w:val="a"/>
    <w:link w:val="af"/>
    <w:rsid w:val="008D24DC"/>
    <w:pPr>
      <w:widowControl w:val="0"/>
      <w:shd w:val="clear" w:color="auto" w:fill="FFFFFF"/>
      <w:spacing w:before="960" w:line="293" w:lineRule="exact"/>
      <w:jc w:val="both"/>
    </w:pPr>
    <w:rPr>
      <w:spacing w:val="5"/>
      <w:sz w:val="23"/>
      <w:szCs w:val="23"/>
    </w:rPr>
  </w:style>
  <w:style w:type="character" w:styleId="af0">
    <w:name w:val="Strong"/>
    <w:uiPriority w:val="22"/>
    <w:qFormat/>
    <w:rsid w:val="00276E76"/>
    <w:rPr>
      <w:b/>
      <w:bCs/>
    </w:rPr>
  </w:style>
  <w:style w:type="character" w:customStyle="1" w:styleId="HTML0">
    <w:name w:val="Стандартный HTML Знак"/>
    <w:link w:val="HTML"/>
    <w:uiPriority w:val="99"/>
    <w:rsid w:val="00315DD3"/>
    <w:rPr>
      <w:rFonts w:ascii="Courier New" w:hAnsi="Courier New" w:cs="Courier New"/>
      <w:color w:val="000000"/>
      <w:sz w:val="21"/>
      <w:szCs w:val="21"/>
      <w:lang w:val="ru-RU" w:eastAsia="ru-RU"/>
    </w:rPr>
  </w:style>
  <w:style w:type="character" w:styleId="af1">
    <w:name w:val="Hyperlink"/>
    <w:rsid w:val="00897763"/>
    <w:rPr>
      <w:color w:val="0000FF"/>
      <w:u w:val="single"/>
    </w:rPr>
  </w:style>
  <w:style w:type="paragraph" w:styleId="af2">
    <w:name w:val="endnote text"/>
    <w:basedOn w:val="a"/>
    <w:link w:val="af3"/>
    <w:rsid w:val="00E14CBA"/>
    <w:rPr>
      <w:sz w:val="20"/>
      <w:szCs w:val="20"/>
    </w:rPr>
  </w:style>
  <w:style w:type="character" w:customStyle="1" w:styleId="af3">
    <w:name w:val="Текст концевой сноски Знак"/>
    <w:link w:val="af2"/>
    <w:rsid w:val="00E14CBA"/>
    <w:rPr>
      <w:lang w:val="uk-UA" w:eastAsia="ru-RU"/>
    </w:rPr>
  </w:style>
  <w:style w:type="character" w:styleId="af4">
    <w:name w:val="endnote reference"/>
    <w:rsid w:val="00E14CBA"/>
    <w:rPr>
      <w:vertAlign w:val="superscript"/>
    </w:rPr>
  </w:style>
  <w:style w:type="paragraph" w:styleId="af5">
    <w:name w:val="footnote text"/>
    <w:basedOn w:val="a"/>
    <w:link w:val="af6"/>
    <w:rsid w:val="00E14CBA"/>
    <w:rPr>
      <w:sz w:val="20"/>
      <w:szCs w:val="20"/>
    </w:rPr>
  </w:style>
  <w:style w:type="character" w:customStyle="1" w:styleId="af6">
    <w:name w:val="Текст сноски Знак"/>
    <w:link w:val="af5"/>
    <w:rsid w:val="00E14CBA"/>
    <w:rPr>
      <w:lang w:val="uk-UA" w:eastAsia="ru-RU"/>
    </w:rPr>
  </w:style>
  <w:style w:type="character" w:styleId="af7">
    <w:name w:val="footnote reference"/>
    <w:uiPriority w:val="99"/>
    <w:rsid w:val="00E14CBA"/>
    <w:rPr>
      <w:vertAlign w:val="superscript"/>
    </w:rPr>
  </w:style>
  <w:style w:type="character" w:styleId="af8">
    <w:name w:val="annotation reference"/>
    <w:basedOn w:val="a0"/>
    <w:semiHidden/>
    <w:unhideWhenUsed/>
    <w:rsid w:val="00C7561B"/>
    <w:rPr>
      <w:sz w:val="16"/>
      <w:szCs w:val="16"/>
    </w:rPr>
  </w:style>
  <w:style w:type="paragraph" w:styleId="af9">
    <w:name w:val="annotation text"/>
    <w:basedOn w:val="a"/>
    <w:link w:val="afa"/>
    <w:semiHidden/>
    <w:unhideWhenUsed/>
    <w:rsid w:val="00C7561B"/>
    <w:rPr>
      <w:sz w:val="20"/>
      <w:szCs w:val="20"/>
    </w:rPr>
  </w:style>
  <w:style w:type="character" w:customStyle="1" w:styleId="afa">
    <w:name w:val="Текст примечания Знак"/>
    <w:basedOn w:val="a0"/>
    <w:link w:val="af9"/>
    <w:semiHidden/>
    <w:rsid w:val="00C7561B"/>
    <w:rPr>
      <w:lang w:val="uk-UA"/>
    </w:rPr>
  </w:style>
  <w:style w:type="paragraph" w:styleId="afb">
    <w:name w:val="annotation subject"/>
    <w:basedOn w:val="af9"/>
    <w:next w:val="af9"/>
    <w:link w:val="afc"/>
    <w:semiHidden/>
    <w:unhideWhenUsed/>
    <w:rsid w:val="00C7561B"/>
    <w:rPr>
      <w:b/>
      <w:bCs/>
    </w:rPr>
  </w:style>
  <w:style w:type="character" w:customStyle="1" w:styleId="afc">
    <w:name w:val="Тема примечания Знак"/>
    <w:basedOn w:val="afa"/>
    <w:link w:val="afb"/>
    <w:semiHidden/>
    <w:rsid w:val="00C7561B"/>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8385">
      <w:bodyDiv w:val="1"/>
      <w:marLeft w:val="0"/>
      <w:marRight w:val="0"/>
      <w:marTop w:val="0"/>
      <w:marBottom w:val="0"/>
      <w:divBdr>
        <w:top w:val="none" w:sz="0" w:space="0" w:color="auto"/>
        <w:left w:val="none" w:sz="0" w:space="0" w:color="auto"/>
        <w:bottom w:val="none" w:sz="0" w:space="0" w:color="auto"/>
        <w:right w:val="none" w:sz="0" w:space="0" w:color="auto"/>
      </w:divBdr>
    </w:div>
    <w:div w:id="350495528">
      <w:bodyDiv w:val="1"/>
      <w:marLeft w:val="0"/>
      <w:marRight w:val="0"/>
      <w:marTop w:val="0"/>
      <w:marBottom w:val="0"/>
      <w:divBdr>
        <w:top w:val="none" w:sz="0" w:space="0" w:color="auto"/>
        <w:left w:val="none" w:sz="0" w:space="0" w:color="auto"/>
        <w:bottom w:val="none" w:sz="0" w:space="0" w:color="auto"/>
        <w:right w:val="none" w:sz="0" w:space="0" w:color="auto"/>
      </w:divBdr>
    </w:div>
    <w:div w:id="492914080">
      <w:bodyDiv w:val="1"/>
      <w:marLeft w:val="0"/>
      <w:marRight w:val="0"/>
      <w:marTop w:val="0"/>
      <w:marBottom w:val="0"/>
      <w:divBdr>
        <w:top w:val="none" w:sz="0" w:space="0" w:color="auto"/>
        <w:left w:val="none" w:sz="0" w:space="0" w:color="auto"/>
        <w:bottom w:val="none" w:sz="0" w:space="0" w:color="auto"/>
        <w:right w:val="none" w:sz="0" w:space="0" w:color="auto"/>
      </w:divBdr>
      <w:divsChild>
        <w:div w:id="93405726">
          <w:marLeft w:val="0"/>
          <w:marRight w:val="0"/>
          <w:marTop w:val="0"/>
          <w:marBottom w:val="0"/>
          <w:divBdr>
            <w:top w:val="none" w:sz="0" w:space="0" w:color="auto"/>
            <w:left w:val="none" w:sz="0" w:space="0" w:color="auto"/>
            <w:bottom w:val="none" w:sz="0" w:space="0" w:color="auto"/>
            <w:right w:val="none" w:sz="0" w:space="0" w:color="auto"/>
          </w:divBdr>
          <w:divsChild>
            <w:div w:id="18265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6793">
      <w:bodyDiv w:val="1"/>
      <w:marLeft w:val="0"/>
      <w:marRight w:val="0"/>
      <w:marTop w:val="0"/>
      <w:marBottom w:val="0"/>
      <w:divBdr>
        <w:top w:val="none" w:sz="0" w:space="0" w:color="auto"/>
        <w:left w:val="none" w:sz="0" w:space="0" w:color="auto"/>
        <w:bottom w:val="none" w:sz="0" w:space="0" w:color="auto"/>
        <w:right w:val="none" w:sz="0" w:space="0" w:color="auto"/>
      </w:divBdr>
    </w:div>
    <w:div w:id="885531668">
      <w:bodyDiv w:val="1"/>
      <w:marLeft w:val="0"/>
      <w:marRight w:val="0"/>
      <w:marTop w:val="0"/>
      <w:marBottom w:val="0"/>
      <w:divBdr>
        <w:top w:val="none" w:sz="0" w:space="0" w:color="auto"/>
        <w:left w:val="none" w:sz="0" w:space="0" w:color="auto"/>
        <w:bottom w:val="none" w:sz="0" w:space="0" w:color="auto"/>
        <w:right w:val="none" w:sz="0" w:space="0" w:color="auto"/>
      </w:divBdr>
    </w:div>
    <w:div w:id="899481890">
      <w:bodyDiv w:val="1"/>
      <w:marLeft w:val="0"/>
      <w:marRight w:val="0"/>
      <w:marTop w:val="0"/>
      <w:marBottom w:val="0"/>
      <w:divBdr>
        <w:top w:val="none" w:sz="0" w:space="0" w:color="auto"/>
        <w:left w:val="none" w:sz="0" w:space="0" w:color="auto"/>
        <w:bottom w:val="none" w:sz="0" w:space="0" w:color="auto"/>
        <w:right w:val="none" w:sz="0" w:space="0" w:color="auto"/>
      </w:divBdr>
    </w:div>
    <w:div w:id="96838985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74">
          <w:marLeft w:val="0"/>
          <w:marRight w:val="0"/>
          <w:marTop w:val="0"/>
          <w:marBottom w:val="0"/>
          <w:divBdr>
            <w:top w:val="none" w:sz="0" w:space="0" w:color="auto"/>
            <w:left w:val="none" w:sz="0" w:space="0" w:color="auto"/>
            <w:bottom w:val="none" w:sz="0" w:space="0" w:color="auto"/>
            <w:right w:val="none" w:sz="0" w:space="0" w:color="auto"/>
          </w:divBdr>
          <w:divsChild>
            <w:div w:id="1951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894">
      <w:bodyDiv w:val="1"/>
      <w:marLeft w:val="0"/>
      <w:marRight w:val="0"/>
      <w:marTop w:val="0"/>
      <w:marBottom w:val="0"/>
      <w:divBdr>
        <w:top w:val="none" w:sz="0" w:space="0" w:color="auto"/>
        <w:left w:val="none" w:sz="0" w:space="0" w:color="auto"/>
        <w:bottom w:val="none" w:sz="0" w:space="0" w:color="auto"/>
        <w:right w:val="none" w:sz="0" w:space="0" w:color="auto"/>
      </w:divBdr>
      <w:divsChild>
        <w:div w:id="1138452716">
          <w:marLeft w:val="0"/>
          <w:marRight w:val="0"/>
          <w:marTop w:val="0"/>
          <w:marBottom w:val="0"/>
          <w:divBdr>
            <w:top w:val="none" w:sz="0" w:space="0" w:color="auto"/>
            <w:left w:val="none" w:sz="0" w:space="0" w:color="auto"/>
            <w:bottom w:val="none" w:sz="0" w:space="0" w:color="auto"/>
            <w:right w:val="none" w:sz="0" w:space="0" w:color="auto"/>
          </w:divBdr>
          <w:divsChild>
            <w:div w:id="10057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411">
      <w:bodyDiv w:val="1"/>
      <w:marLeft w:val="0"/>
      <w:marRight w:val="0"/>
      <w:marTop w:val="0"/>
      <w:marBottom w:val="0"/>
      <w:divBdr>
        <w:top w:val="none" w:sz="0" w:space="0" w:color="auto"/>
        <w:left w:val="none" w:sz="0" w:space="0" w:color="auto"/>
        <w:bottom w:val="none" w:sz="0" w:space="0" w:color="auto"/>
        <w:right w:val="none" w:sz="0" w:space="0" w:color="auto"/>
      </w:divBdr>
      <w:divsChild>
        <w:div w:id="298463441">
          <w:marLeft w:val="0"/>
          <w:marRight w:val="0"/>
          <w:marTop w:val="0"/>
          <w:marBottom w:val="0"/>
          <w:divBdr>
            <w:top w:val="none" w:sz="0" w:space="0" w:color="auto"/>
            <w:left w:val="none" w:sz="0" w:space="0" w:color="auto"/>
            <w:bottom w:val="none" w:sz="0" w:space="0" w:color="auto"/>
            <w:right w:val="none" w:sz="0" w:space="0" w:color="auto"/>
          </w:divBdr>
          <w:divsChild>
            <w:div w:id="11866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305">
      <w:bodyDiv w:val="1"/>
      <w:marLeft w:val="0"/>
      <w:marRight w:val="0"/>
      <w:marTop w:val="0"/>
      <w:marBottom w:val="0"/>
      <w:divBdr>
        <w:top w:val="none" w:sz="0" w:space="0" w:color="auto"/>
        <w:left w:val="none" w:sz="0" w:space="0" w:color="auto"/>
        <w:bottom w:val="none" w:sz="0" w:space="0" w:color="auto"/>
        <w:right w:val="none" w:sz="0" w:space="0" w:color="auto"/>
      </w:divBdr>
    </w:div>
    <w:div w:id="1413695777">
      <w:bodyDiv w:val="1"/>
      <w:marLeft w:val="0"/>
      <w:marRight w:val="0"/>
      <w:marTop w:val="0"/>
      <w:marBottom w:val="0"/>
      <w:divBdr>
        <w:top w:val="none" w:sz="0" w:space="0" w:color="auto"/>
        <w:left w:val="none" w:sz="0" w:space="0" w:color="auto"/>
        <w:bottom w:val="none" w:sz="0" w:space="0" w:color="auto"/>
        <w:right w:val="none" w:sz="0" w:space="0" w:color="auto"/>
      </w:divBdr>
    </w:div>
    <w:div w:id="1422412212">
      <w:bodyDiv w:val="1"/>
      <w:marLeft w:val="0"/>
      <w:marRight w:val="0"/>
      <w:marTop w:val="0"/>
      <w:marBottom w:val="0"/>
      <w:divBdr>
        <w:top w:val="none" w:sz="0" w:space="0" w:color="auto"/>
        <w:left w:val="none" w:sz="0" w:space="0" w:color="auto"/>
        <w:bottom w:val="none" w:sz="0" w:space="0" w:color="auto"/>
        <w:right w:val="none" w:sz="0" w:space="0" w:color="auto"/>
      </w:divBdr>
    </w:div>
    <w:div w:id="1545750019">
      <w:bodyDiv w:val="1"/>
      <w:marLeft w:val="0"/>
      <w:marRight w:val="0"/>
      <w:marTop w:val="0"/>
      <w:marBottom w:val="0"/>
      <w:divBdr>
        <w:top w:val="none" w:sz="0" w:space="0" w:color="auto"/>
        <w:left w:val="none" w:sz="0" w:space="0" w:color="auto"/>
        <w:bottom w:val="none" w:sz="0" w:space="0" w:color="auto"/>
        <w:right w:val="none" w:sz="0" w:space="0" w:color="auto"/>
      </w:divBdr>
    </w:div>
    <w:div w:id="17282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8365-3661-4704-A3DD-1380291C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3796</Words>
  <Characters>21639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minjkg</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lisicka</dc:creator>
  <cp:keywords/>
  <cp:lastModifiedBy>Anna Palazova</cp:lastModifiedBy>
  <cp:revision>3</cp:revision>
  <cp:lastPrinted>2018-01-02T14:54:00Z</cp:lastPrinted>
  <dcterms:created xsi:type="dcterms:W3CDTF">2018-01-03T12:17:00Z</dcterms:created>
  <dcterms:modified xsi:type="dcterms:W3CDTF">2018-01-03T14:37:00Z</dcterms:modified>
</cp:coreProperties>
</file>