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E74D" w14:textId="6C7976EE" w:rsidR="009E6977" w:rsidRPr="00ED6AD1" w:rsidRDefault="000E4AAB" w:rsidP="00907003">
      <w:pPr>
        <w:spacing w:after="100"/>
        <w:rPr>
          <w:b/>
          <w:bCs/>
        </w:rPr>
      </w:pPr>
      <w:r w:rsidRPr="00ED6AD1">
        <w:rPr>
          <w:b/>
          <w:bCs/>
        </w:rPr>
        <w:t xml:space="preserve">Законопроект про Національну комісію з питань регулювання зв’язку </w:t>
      </w:r>
    </w:p>
    <w:p w14:paraId="49F493AD" w14:textId="2DC2BDF2" w:rsidR="000E4AAB" w:rsidRDefault="000E4AAB" w:rsidP="00907003">
      <w:pPr>
        <w:spacing w:after="100"/>
      </w:pPr>
      <w:r w:rsidRPr="000E4AAB">
        <w:rPr>
          <w:b/>
          <w:bCs/>
        </w:rPr>
        <w:t>Предмет регулювання</w:t>
      </w:r>
      <w:r>
        <w:rPr>
          <w:b/>
          <w:bCs/>
        </w:rPr>
        <w:t xml:space="preserve">: </w:t>
      </w:r>
      <w:r w:rsidRPr="000E4AAB">
        <w:t>організаційно-правові засади створення та діяльності</w:t>
      </w:r>
      <w:r w:rsidR="000155CA">
        <w:t xml:space="preserve"> регулятора</w:t>
      </w:r>
      <w:r>
        <w:t>, в тому числі:</w:t>
      </w:r>
      <w:r w:rsidR="000155CA">
        <w:t xml:space="preserve"> </w:t>
      </w:r>
      <w:r>
        <w:t xml:space="preserve">організаційно-правовий статус, вимоги до членів НКРЗ, процедури їх відбору та призначення, підстави та порядок звільнення; забезпечення незалежності, фінансування, </w:t>
      </w:r>
      <w:r w:rsidR="00582E00">
        <w:t xml:space="preserve">організація роботи, </w:t>
      </w:r>
      <w:r>
        <w:t>прийняття рішень, забезпечення діяльності, апарат, звітність та відповідальність.</w:t>
      </w:r>
    </w:p>
    <w:p w14:paraId="4745826E" w14:textId="52186B8E" w:rsidR="000E4AAB" w:rsidRDefault="00ED6AD1" w:rsidP="00907003">
      <w:pPr>
        <w:spacing w:after="100"/>
        <w:rPr>
          <w:b/>
          <w:bCs/>
        </w:rPr>
      </w:pPr>
      <w:r w:rsidRPr="00ED6AD1">
        <w:rPr>
          <w:b/>
          <w:bCs/>
        </w:rPr>
        <w:t>О</w:t>
      </w:r>
      <w:r w:rsidR="000E4AAB" w:rsidRPr="00ED6AD1">
        <w:rPr>
          <w:b/>
          <w:bCs/>
        </w:rPr>
        <w:t>рганізаційно-правовий статус</w:t>
      </w:r>
    </w:p>
    <w:p w14:paraId="7A79F2F4" w14:textId="77777777" w:rsidR="00784895" w:rsidRDefault="0056435D" w:rsidP="00907003">
      <w:pPr>
        <w:spacing w:after="100"/>
      </w:pPr>
      <w:r>
        <w:t>Враховуючи</w:t>
      </w:r>
      <w:r w:rsidR="00784895">
        <w:t>:</w:t>
      </w:r>
    </w:p>
    <w:p w14:paraId="63944EDF" w14:textId="0615CF78" w:rsidR="00784895" w:rsidRPr="00080A26" w:rsidRDefault="0056435D" w:rsidP="00907003">
      <w:pPr>
        <w:spacing w:after="100"/>
      </w:pPr>
      <w:r>
        <w:t xml:space="preserve">положення статей   </w:t>
      </w:r>
      <w:r w:rsidR="00784895" w:rsidRPr="00080A26">
        <w:t xml:space="preserve">ст. 6, 19, 106  </w:t>
      </w:r>
      <w:r>
        <w:t>Конституції України</w:t>
      </w:r>
      <w:r w:rsidR="00784895">
        <w:t xml:space="preserve">, яка не </w:t>
      </w:r>
      <w:r w:rsidR="00784895" w:rsidRPr="00080A26">
        <w:t xml:space="preserve">передбачає утворення органів, що не входять до жодної з гілок влади </w:t>
      </w:r>
      <w:r w:rsidR="00870DF6">
        <w:t>та</w:t>
      </w:r>
      <w:r w:rsidR="00784895" w:rsidRPr="00080A26">
        <w:t xml:space="preserve"> не передбач</w:t>
      </w:r>
      <w:r w:rsidR="00870DF6">
        <w:t>ає</w:t>
      </w:r>
      <w:r w:rsidR="00784895" w:rsidRPr="00080A26">
        <w:t xml:space="preserve"> повноважень Президента України призначати </w:t>
      </w:r>
      <w:r w:rsidR="00870DF6">
        <w:t>і</w:t>
      </w:r>
      <w:r w:rsidR="00784895" w:rsidRPr="00080A26">
        <w:t xml:space="preserve"> звільняти їх членів;</w:t>
      </w:r>
    </w:p>
    <w:p w14:paraId="0798AE8D" w14:textId="63C994F1" w:rsidR="00080A26" w:rsidRPr="00080A26" w:rsidRDefault="0056435D" w:rsidP="00907003">
      <w:pPr>
        <w:spacing w:after="100"/>
      </w:pPr>
      <w:r>
        <w:t xml:space="preserve">рішення Конституційного суду  України </w:t>
      </w:r>
      <w:r w:rsidR="00080A26">
        <w:t xml:space="preserve">від </w:t>
      </w:r>
      <w:r w:rsidR="00080A26" w:rsidRPr="00080A26">
        <w:t>14.06.2019 щодо неконституційності утворення НКРЕК</w:t>
      </w:r>
      <w:r w:rsidR="00907003">
        <w:t>П</w:t>
      </w:r>
      <w:r w:rsidR="00080A26" w:rsidRPr="00080A26">
        <w:t xml:space="preserve">, а також його висновок про невідповідність Конституції законопроекту № 1014, </w:t>
      </w:r>
      <w:r w:rsidR="00870DF6">
        <w:t>що</w:t>
      </w:r>
      <w:r w:rsidR="00080A26" w:rsidRPr="00080A26">
        <w:t xml:space="preserve"> передбачав закріплення </w:t>
      </w:r>
      <w:r w:rsidR="00870DF6">
        <w:t xml:space="preserve">в Конституції </w:t>
      </w:r>
      <w:r w:rsidR="00080A26" w:rsidRPr="00080A26">
        <w:t>повноважень Президента України утворювати незалежні регуляторні органи,</w:t>
      </w:r>
    </w:p>
    <w:p w14:paraId="518643D4" w14:textId="11C92DAA" w:rsidR="0056435D" w:rsidRDefault="0056435D" w:rsidP="00775B75">
      <w:pPr>
        <w:pStyle w:val="ae"/>
        <w:numPr>
          <w:ilvl w:val="0"/>
          <w:numId w:val="1"/>
        </w:numPr>
        <w:spacing w:after="100"/>
      </w:pPr>
      <w:r>
        <w:t xml:space="preserve">це має бути орган в виконавчій гілці влади. </w:t>
      </w:r>
    </w:p>
    <w:p w14:paraId="3FE770F2" w14:textId="65D0C91F" w:rsidR="00080A26" w:rsidRDefault="00080A26" w:rsidP="00907003">
      <w:pPr>
        <w:spacing w:after="100"/>
        <w:rPr>
          <w:color w:val="000000"/>
          <w:shd w:val="clear" w:color="auto" w:fill="FFFFFF"/>
        </w:rPr>
      </w:pPr>
      <w:r>
        <w:t xml:space="preserve">Стаття </w:t>
      </w:r>
      <w:r w:rsidR="009B7939">
        <w:t>24 ЗУ «</w:t>
      </w:r>
      <w:r w:rsidR="009B7939" w:rsidRPr="009B7939">
        <w:t>Про центральні органи виконавчої влади</w:t>
      </w:r>
      <w:r w:rsidR="009B7939">
        <w:t>»</w:t>
      </w:r>
      <w:r>
        <w:t xml:space="preserve"> передбачає утворення</w:t>
      </w:r>
      <w:r w:rsidR="009B793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КМУ </w:t>
      </w:r>
      <w:r w:rsidR="009B7939">
        <w:rPr>
          <w:color w:val="000000"/>
          <w:shd w:val="clear" w:color="auto" w:fill="FFFFFF"/>
        </w:rPr>
        <w:t>центральни</w:t>
      </w:r>
      <w:r>
        <w:rPr>
          <w:color w:val="000000"/>
          <w:shd w:val="clear" w:color="auto" w:fill="FFFFFF"/>
        </w:rPr>
        <w:t>х</w:t>
      </w:r>
      <w:r w:rsidR="009B7939">
        <w:rPr>
          <w:color w:val="000000"/>
          <w:shd w:val="clear" w:color="auto" w:fill="FFFFFF"/>
        </w:rPr>
        <w:t xml:space="preserve"> орган</w:t>
      </w:r>
      <w:r>
        <w:rPr>
          <w:color w:val="000000"/>
          <w:shd w:val="clear" w:color="auto" w:fill="FFFFFF"/>
        </w:rPr>
        <w:t>ів</w:t>
      </w:r>
      <w:r w:rsidR="009B7939">
        <w:rPr>
          <w:color w:val="000000"/>
          <w:shd w:val="clear" w:color="auto" w:fill="FFFFFF"/>
        </w:rPr>
        <w:t xml:space="preserve"> виконавчої влади зі спеціальним статусом,</w:t>
      </w:r>
      <w:r w:rsidR="00870DF6">
        <w:rPr>
          <w:color w:val="000000"/>
          <w:shd w:val="clear" w:color="auto" w:fill="FFFFFF"/>
        </w:rPr>
        <w:t xml:space="preserve"> для яких іншими законами визначаються особливості організації та порядку їх діяльності</w:t>
      </w:r>
      <w:r w:rsidR="009B7939">
        <w:rPr>
          <w:color w:val="000000"/>
          <w:shd w:val="clear" w:color="auto" w:fill="FFFFFF"/>
        </w:rPr>
        <w:t>.</w:t>
      </w:r>
      <w:r w:rsidR="00784895">
        <w:rPr>
          <w:color w:val="000000"/>
          <w:shd w:val="clear" w:color="auto" w:fill="FFFFFF"/>
        </w:rPr>
        <w:t xml:space="preserve"> </w:t>
      </w:r>
    </w:p>
    <w:p w14:paraId="0DE31B07" w14:textId="0DC4E7EB" w:rsidR="009B7939" w:rsidRDefault="00784895" w:rsidP="00907003">
      <w:pPr>
        <w:spacing w:after="1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 таким статусом діють, зокрема, Антимонопольний комітет, Національна комісія, що здійснює державне регулювання у сферах енергетики та комунальних послуг. </w:t>
      </w:r>
    </w:p>
    <w:p w14:paraId="15E6F73E" w14:textId="209C91B3" w:rsidR="00654927" w:rsidRPr="00654927" w:rsidRDefault="00654927" w:rsidP="00907003">
      <w:pPr>
        <w:spacing w:after="100"/>
        <w:rPr>
          <w:b/>
          <w:bCs/>
        </w:rPr>
      </w:pPr>
      <w:r w:rsidRPr="00654927">
        <w:rPr>
          <w:b/>
          <w:bCs/>
        </w:rPr>
        <w:t>Сфери регулювання та повноваження</w:t>
      </w:r>
      <w:r w:rsidR="00BC23D9">
        <w:rPr>
          <w:b/>
          <w:bCs/>
        </w:rPr>
        <w:t>:</w:t>
      </w:r>
      <w:r w:rsidRPr="00654927">
        <w:rPr>
          <w:b/>
          <w:bCs/>
        </w:rPr>
        <w:t xml:space="preserve"> </w:t>
      </w:r>
    </w:p>
    <w:p w14:paraId="19BA25C5" w14:textId="56439723" w:rsidR="00870DF6" w:rsidRDefault="00870DF6" w:rsidP="00907003">
      <w:pPr>
        <w:spacing w:after="100"/>
      </w:pPr>
      <w:r>
        <w:t xml:space="preserve">Сфери, що відносяться до галузі зв’язку: </w:t>
      </w:r>
    </w:p>
    <w:p w14:paraId="291E992C" w14:textId="5DBBD7B3" w:rsidR="00654927" w:rsidRPr="00BC23D9" w:rsidRDefault="00BC23D9" w:rsidP="00907003">
      <w:pPr>
        <w:spacing w:after="100"/>
      </w:pPr>
      <w:r w:rsidRPr="00BC23D9">
        <w:t xml:space="preserve">електронні комунікації </w:t>
      </w:r>
      <w:r>
        <w:t>– здійснює повноваження в</w:t>
      </w:r>
      <w:r w:rsidR="00775B75">
        <w:t>ідповідно до законопроекту</w:t>
      </w:r>
      <w:r>
        <w:t xml:space="preserve"> «Про електронні комунікації»</w:t>
      </w:r>
      <w:r w:rsidR="00775B75">
        <w:t xml:space="preserve"> (3014)</w:t>
      </w:r>
      <w:r w:rsidR="0056435D">
        <w:t>;</w:t>
      </w:r>
    </w:p>
    <w:p w14:paraId="289D0ACD" w14:textId="77777777" w:rsidR="00775B75" w:rsidRPr="00BC23D9" w:rsidRDefault="00BC23D9" w:rsidP="00775B75">
      <w:pPr>
        <w:spacing w:after="100"/>
      </w:pPr>
      <w:r>
        <w:t xml:space="preserve">користування радіочастотним спектром </w:t>
      </w:r>
      <w:r w:rsidRPr="00BC23D9">
        <w:t xml:space="preserve"> </w:t>
      </w:r>
      <w:r>
        <w:t xml:space="preserve">– здійснює повноваження </w:t>
      </w:r>
      <w:r w:rsidR="00775B75">
        <w:t>відповідно до законопроекту «Про електронні комунікації» (3014);</w:t>
      </w:r>
    </w:p>
    <w:p w14:paraId="2DE7B0EB" w14:textId="452B23A4" w:rsidR="00BC23D9" w:rsidRPr="00BC23D9" w:rsidRDefault="00BC23D9" w:rsidP="00907003">
      <w:pPr>
        <w:spacing w:after="100"/>
      </w:pPr>
      <w:r>
        <w:rPr>
          <w:color w:val="000000"/>
          <w:shd w:val="clear" w:color="auto" w:fill="FFFFFF"/>
        </w:rPr>
        <w:t>надання послуг поштового зв'язку</w:t>
      </w:r>
      <w:r>
        <w:t xml:space="preserve"> </w:t>
      </w:r>
      <w:r w:rsidRPr="00BC23D9">
        <w:t xml:space="preserve"> </w:t>
      </w:r>
      <w:r>
        <w:t xml:space="preserve">– здійснює повноваження </w:t>
      </w:r>
      <w:r w:rsidR="00775B75">
        <w:t xml:space="preserve">відповідно до </w:t>
      </w:r>
      <w:r>
        <w:t>Закон</w:t>
      </w:r>
      <w:r w:rsidR="00775B75">
        <w:t>у</w:t>
      </w:r>
      <w:r>
        <w:t xml:space="preserve"> України «Про поштовий зв'язок»</w:t>
      </w:r>
      <w:r w:rsidR="0056435D">
        <w:t>.</w:t>
      </w:r>
    </w:p>
    <w:p w14:paraId="2DE185D0" w14:textId="3E4073DC" w:rsidR="000E4AAB" w:rsidRDefault="00BC23D9" w:rsidP="00907003">
      <w:pPr>
        <w:spacing w:after="100"/>
      </w:pPr>
      <w:r>
        <w:t>Повноваження доцільно не дублювати цим законопроектом, передбачивши відсилочні норми на закони, що регулюють відповідні сфери. Це відповідає правилам нормо - проектувальної техніки та не створюватиме колізій у разі відмінностей у формулюваннях.</w:t>
      </w:r>
    </w:p>
    <w:p w14:paraId="1332F9F3" w14:textId="44CF39CD" w:rsidR="00767103" w:rsidRDefault="00870DF6" w:rsidP="00907003">
      <w:pPr>
        <w:spacing w:after="100"/>
      </w:pPr>
      <w:r>
        <w:t xml:space="preserve">Недоцільно об’єднувати в одному регуляторі повноваження з регулювання різних </w:t>
      </w:r>
      <w:r w:rsidR="00767103">
        <w:t xml:space="preserve">галузей, наприклад, </w:t>
      </w:r>
      <w:r w:rsidR="00907003">
        <w:t xml:space="preserve">зв’язку та </w:t>
      </w:r>
      <w:r w:rsidR="00767103">
        <w:t>транспорту, оскільки це може мати негативні наслідки для обох галузей.</w:t>
      </w:r>
    </w:p>
    <w:p w14:paraId="6885D47E" w14:textId="19D67174" w:rsidR="005715EC" w:rsidRPr="007E56A7" w:rsidRDefault="005715EC" w:rsidP="00907003">
      <w:pPr>
        <w:spacing w:after="100"/>
      </w:pPr>
      <w:r w:rsidRPr="007E56A7">
        <w:t xml:space="preserve">Відповідно до п. 38, статі 7  Директиви ЄС 1972/201838 голова та члени регулюючого органу призначається з числа осіб з підтвердженим та професійним досвідом на основі заслуг, навичок, знань та досвіду. Враховуючи, що зазвичай відсутні фахівці , які б мали одночасно  досвід і знання в таких відмінних галузях, як транспорт і зв'язок, а також те, що обидві галузі включають </w:t>
      </w:r>
      <w:r w:rsidR="003D7D44" w:rsidRPr="007E56A7">
        <w:t xml:space="preserve">ряд сфер, які також потребують </w:t>
      </w:r>
      <w:r w:rsidR="007E56A7">
        <w:t xml:space="preserve">спеціальних </w:t>
      </w:r>
      <w:r w:rsidR="003D7D44" w:rsidRPr="007E56A7">
        <w:t>знань,  сформувати фаховий склад о</w:t>
      </w:r>
      <w:r w:rsidRPr="007E56A7">
        <w:t>б’єднан</w:t>
      </w:r>
      <w:r w:rsidR="003D7D44" w:rsidRPr="007E56A7">
        <w:t>ого регулятора буде досить складно. Частині членів регулятора потрібно буде постійно приймати рішення з питань, в яких вони не мають професійного досвіду та знань, що матиме негативний вплив на якість таких рішень.</w:t>
      </w:r>
    </w:p>
    <w:p w14:paraId="0DCB78FF" w14:textId="3D28D9CD" w:rsidR="0076015D" w:rsidRDefault="003D7D44" w:rsidP="00907003">
      <w:pPr>
        <w:spacing w:after="100"/>
      </w:pPr>
      <w:r>
        <w:t>Очевидно, це доведеться враховувати і при формуванні структури</w:t>
      </w:r>
      <w:r w:rsidR="007E56A7">
        <w:t xml:space="preserve"> апарату регулятора</w:t>
      </w:r>
      <w:r>
        <w:t>, створюючи  окремі підрозділи з технічних, юридичних, економічних питань регулювання різних галузей</w:t>
      </w:r>
      <w:r w:rsidR="0076015D">
        <w:t xml:space="preserve"> та збільшуючи штатну чисельність. Тоді виникає питання, щодо сенсу та ефективності такого об’єднання. </w:t>
      </w:r>
    </w:p>
    <w:p w14:paraId="22C76021" w14:textId="17B3CD76" w:rsidR="0076015D" w:rsidRDefault="0076015D" w:rsidP="00907003">
      <w:pPr>
        <w:spacing w:after="100"/>
      </w:pPr>
      <w:r>
        <w:lastRenderedPageBreak/>
        <w:t xml:space="preserve">В Україні був досвід об’єднання державного управління в галузях транспорту і зв’язку в одному міністерстві, від якого з часом відмовились.   </w:t>
      </w:r>
      <w:r w:rsidR="007E56A7">
        <w:t>Для галузі зв’язку ц</w:t>
      </w:r>
      <w:r>
        <w:t>е призвело до суттєвого збільшення бюрократичного документообігу,</w:t>
      </w:r>
      <w:r w:rsidR="007E56A7">
        <w:t xml:space="preserve"> затягування з прийняттям рішень та неефективності. </w:t>
      </w:r>
    </w:p>
    <w:p w14:paraId="48474CD2" w14:textId="77CE4994" w:rsidR="0076015D" w:rsidRDefault="000C3909" w:rsidP="00907003">
      <w:pPr>
        <w:spacing w:after="100"/>
      </w:pPr>
      <w:r>
        <w:t>В основному д</w:t>
      </w:r>
      <w:r w:rsidR="0076015D">
        <w:t xml:space="preserve">освід </w:t>
      </w:r>
      <w:r>
        <w:t>є</w:t>
      </w:r>
      <w:r w:rsidR="0076015D">
        <w:t>вропейських кр</w:t>
      </w:r>
      <w:r w:rsidR="007E56A7">
        <w:t>аїн свідчить про створення  окремих регуляторів для електронних комунікацій та пошти, як</w:t>
      </w:r>
      <w:r>
        <w:t>і</w:t>
      </w:r>
      <w:r w:rsidR="007E56A7">
        <w:t xml:space="preserve"> часто також відповідальні за телерадіомовлення. З 29 регуляторів, які було проаналізовано, в 19 застосований такий підхід. Лише чотир</w:t>
      </w:r>
      <w:r>
        <w:t>и</w:t>
      </w:r>
      <w:r w:rsidR="007E56A7">
        <w:t xml:space="preserve"> країн</w:t>
      </w:r>
      <w:r>
        <w:t>и</w:t>
      </w:r>
      <w:r w:rsidR="007E56A7">
        <w:t xml:space="preserve">, які значно менші за України вибрали модель об’єднання </w:t>
      </w:r>
      <w:r>
        <w:t>в  одному регуляторі питань зв’язку і залізниці.  Ще шість країн створили багатогалузевих регуляторів. Крім Іспанії та Німеччини це також невеликі за розміром країни. В Іспанії нетиповий для європейських країн підхід,  там регулятором виступає конкурентне відомство.</w:t>
      </w:r>
    </w:p>
    <w:p w14:paraId="2015D5AB" w14:textId="1038B8C7" w:rsidR="00822A49" w:rsidRPr="000C3909" w:rsidRDefault="00FE7052" w:rsidP="00907003">
      <w:pPr>
        <w:spacing w:after="100"/>
        <w:ind w:left="426"/>
        <w:rPr>
          <w:sz w:val="20"/>
          <w:szCs w:val="20"/>
          <w:lang w:val="ru-RU"/>
        </w:rPr>
      </w:pPr>
      <w:r w:rsidRPr="000C3909">
        <w:rPr>
          <w:i/>
          <w:iCs/>
          <w:sz w:val="20"/>
          <w:szCs w:val="20"/>
          <w:u w:val="single"/>
          <w:lang w:val="ru-RU"/>
        </w:rPr>
        <w:t xml:space="preserve">Окремі </w:t>
      </w:r>
      <w:r w:rsidRPr="00C0113B">
        <w:rPr>
          <w:i/>
          <w:iCs/>
          <w:sz w:val="20"/>
          <w:szCs w:val="20"/>
          <w:u w:val="single"/>
          <w:lang w:val="ru-RU"/>
        </w:rPr>
        <w:t>регулятори в галузі зв</w:t>
      </w:r>
      <w:r w:rsidR="00822A49" w:rsidRPr="00C0113B">
        <w:rPr>
          <w:i/>
          <w:iCs/>
          <w:sz w:val="20"/>
          <w:szCs w:val="20"/>
          <w:u w:val="single"/>
          <w:lang w:val="en-US"/>
        </w:rPr>
        <w:t>’</w:t>
      </w:r>
      <w:r w:rsidRPr="00C0113B">
        <w:rPr>
          <w:i/>
          <w:iCs/>
          <w:sz w:val="20"/>
          <w:szCs w:val="20"/>
          <w:u w:val="single"/>
          <w:lang w:val="ru-RU"/>
        </w:rPr>
        <w:t>язку</w:t>
      </w:r>
      <w:r w:rsidRPr="00C0113B">
        <w:rPr>
          <w:sz w:val="20"/>
          <w:szCs w:val="20"/>
          <w:u w:val="single"/>
          <w:lang w:val="ru-RU"/>
        </w:rPr>
        <w:t>:</w:t>
      </w:r>
      <w:r w:rsidRPr="000C3909">
        <w:rPr>
          <w:sz w:val="20"/>
          <w:szCs w:val="20"/>
          <w:lang w:val="ru-RU"/>
        </w:rPr>
        <w:t xml:space="preserve"> </w:t>
      </w:r>
      <w:r w:rsidR="00822A49" w:rsidRPr="000C3909">
        <w:rPr>
          <w:sz w:val="20"/>
          <w:szCs w:val="20"/>
          <w:lang w:val="ru-RU"/>
        </w:rPr>
        <w:t>1</w:t>
      </w:r>
      <w:r w:rsidR="00225F78" w:rsidRPr="000C3909">
        <w:rPr>
          <w:sz w:val="20"/>
          <w:szCs w:val="20"/>
          <w:lang w:val="ru-RU"/>
        </w:rPr>
        <w:t>2</w:t>
      </w:r>
    </w:p>
    <w:p w14:paraId="0A501699" w14:textId="109F189D" w:rsidR="00025DF0" w:rsidRPr="000C3909" w:rsidRDefault="002F343B" w:rsidP="00907003">
      <w:pPr>
        <w:spacing w:after="100"/>
        <w:ind w:left="426"/>
        <w:rPr>
          <w:i/>
          <w:iCs/>
          <w:sz w:val="20"/>
          <w:szCs w:val="20"/>
        </w:rPr>
      </w:pPr>
      <w:r w:rsidRPr="000C3909">
        <w:rPr>
          <w:sz w:val="20"/>
          <w:szCs w:val="20"/>
        </w:rPr>
        <w:t>Болгарія (телекомунікації, пошта, електронні довірчі послуги)</w:t>
      </w:r>
      <w:r w:rsidR="00D330FA" w:rsidRPr="000C3909">
        <w:rPr>
          <w:sz w:val="20"/>
          <w:szCs w:val="20"/>
        </w:rPr>
        <w:t xml:space="preserve">, </w:t>
      </w:r>
      <w:r w:rsidR="00AA2E99" w:rsidRPr="000C3909">
        <w:rPr>
          <w:sz w:val="20"/>
          <w:szCs w:val="20"/>
        </w:rPr>
        <w:t xml:space="preserve">Кіпр -  </w:t>
      </w:r>
      <w:r w:rsidR="00AA2E99" w:rsidRPr="000C3909">
        <w:rPr>
          <w:sz w:val="20"/>
          <w:szCs w:val="20"/>
          <w:lang w:val="en-US"/>
        </w:rPr>
        <w:t>OCECPR (</w:t>
      </w:r>
      <w:r w:rsidR="00AA2E99" w:rsidRPr="000C3909">
        <w:rPr>
          <w:sz w:val="20"/>
          <w:szCs w:val="20"/>
        </w:rPr>
        <w:t xml:space="preserve">електронні комунікації та поштовий зв'язок), Чехія </w:t>
      </w:r>
      <w:r w:rsidR="00AA2E99" w:rsidRPr="000C3909">
        <w:rPr>
          <w:sz w:val="20"/>
          <w:szCs w:val="20"/>
          <w:lang w:val="en-US"/>
        </w:rPr>
        <w:t xml:space="preserve">CTU </w:t>
      </w:r>
      <w:r w:rsidR="00AA2E99" w:rsidRPr="000C3909">
        <w:rPr>
          <w:sz w:val="20"/>
          <w:szCs w:val="20"/>
        </w:rPr>
        <w:t xml:space="preserve">(електронні комунікації та поштовий зв’язок), </w:t>
      </w:r>
      <w:r w:rsidR="004D5D4F" w:rsidRPr="000C3909">
        <w:rPr>
          <w:sz w:val="20"/>
          <w:szCs w:val="20"/>
        </w:rPr>
        <w:t xml:space="preserve">Греція- </w:t>
      </w:r>
      <w:r w:rsidR="004D5D4F" w:rsidRPr="000C3909">
        <w:rPr>
          <w:sz w:val="20"/>
          <w:szCs w:val="20"/>
          <w:lang w:val="en-US"/>
        </w:rPr>
        <w:t>EETT (</w:t>
      </w:r>
      <w:r w:rsidR="004D5D4F" w:rsidRPr="000C3909">
        <w:rPr>
          <w:sz w:val="20"/>
          <w:szCs w:val="20"/>
        </w:rPr>
        <w:t>телекомунікації і пош</w:t>
      </w:r>
      <w:r w:rsidR="00B47C49" w:rsidRPr="000C3909">
        <w:rPr>
          <w:sz w:val="20"/>
          <w:szCs w:val="20"/>
        </w:rPr>
        <w:t>т</w:t>
      </w:r>
      <w:r w:rsidR="004D5D4F" w:rsidRPr="000C3909">
        <w:rPr>
          <w:sz w:val="20"/>
          <w:szCs w:val="20"/>
        </w:rPr>
        <w:t>а</w:t>
      </w:r>
      <w:r w:rsidR="004D5D4F" w:rsidRPr="000C3909">
        <w:rPr>
          <w:sz w:val="20"/>
          <w:szCs w:val="20"/>
          <w:lang w:val="en-US"/>
        </w:rPr>
        <w:t>)</w:t>
      </w:r>
      <w:r w:rsidR="00B8665F" w:rsidRPr="000C3909">
        <w:rPr>
          <w:sz w:val="20"/>
          <w:szCs w:val="20"/>
        </w:rPr>
        <w:t>,</w:t>
      </w:r>
      <w:r w:rsidR="00B47C49" w:rsidRPr="000C3909">
        <w:rPr>
          <w:sz w:val="20"/>
          <w:szCs w:val="20"/>
          <w:lang w:val="en-US"/>
        </w:rPr>
        <w:t xml:space="preserve"> </w:t>
      </w:r>
      <w:r w:rsidR="00B8665F" w:rsidRPr="000C3909">
        <w:rPr>
          <w:sz w:val="20"/>
          <w:szCs w:val="20"/>
        </w:rPr>
        <w:t xml:space="preserve">Ірландія – </w:t>
      </w:r>
      <w:r w:rsidR="00B8665F" w:rsidRPr="000C3909">
        <w:rPr>
          <w:sz w:val="20"/>
          <w:szCs w:val="20"/>
          <w:lang w:val="en-US"/>
        </w:rPr>
        <w:t>ComReg (</w:t>
      </w:r>
      <w:r w:rsidR="00B8665F" w:rsidRPr="000C3909">
        <w:rPr>
          <w:sz w:val="20"/>
          <w:szCs w:val="20"/>
        </w:rPr>
        <w:t>телекомунікації, радіопередача, послуги преміум тарифу (розважальні, інформаційні сервіси</w:t>
      </w:r>
      <w:r w:rsidR="00C0113B">
        <w:rPr>
          <w:sz w:val="20"/>
          <w:szCs w:val="20"/>
        </w:rPr>
        <w:t>)</w:t>
      </w:r>
      <w:r w:rsidR="00B8665F" w:rsidRPr="000C3909">
        <w:rPr>
          <w:sz w:val="20"/>
          <w:szCs w:val="20"/>
        </w:rPr>
        <w:t>, пошта)</w:t>
      </w:r>
      <w:r w:rsidR="00E60057" w:rsidRPr="000C3909">
        <w:rPr>
          <w:sz w:val="20"/>
          <w:szCs w:val="20"/>
        </w:rPr>
        <w:t xml:space="preserve">, Мальта -МСА </w:t>
      </w:r>
      <w:r w:rsidR="00E60057" w:rsidRPr="000C3909">
        <w:rPr>
          <w:sz w:val="20"/>
          <w:szCs w:val="20"/>
          <w:lang w:val="en-US"/>
        </w:rPr>
        <w:t>(</w:t>
      </w:r>
      <w:r w:rsidR="00E60057" w:rsidRPr="000C3909">
        <w:rPr>
          <w:sz w:val="20"/>
          <w:szCs w:val="20"/>
        </w:rPr>
        <w:t>електронні комунікації, пошта, електронна комерція</w:t>
      </w:r>
      <w:r w:rsidR="00E60057" w:rsidRPr="000C3909">
        <w:rPr>
          <w:sz w:val="20"/>
          <w:szCs w:val="20"/>
          <w:lang w:val="en-US"/>
        </w:rPr>
        <w:t>)</w:t>
      </w:r>
      <w:r w:rsidR="00AD4060" w:rsidRPr="000C3909">
        <w:rPr>
          <w:sz w:val="20"/>
          <w:szCs w:val="20"/>
        </w:rPr>
        <w:t xml:space="preserve">, </w:t>
      </w:r>
      <w:r w:rsidR="00E60057" w:rsidRPr="000C3909">
        <w:rPr>
          <w:sz w:val="20"/>
          <w:szCs w:val="20"/>
        </w:rPr>
        <w:t xml:space="preserve">Польща – </w:t>
      </w:r>
      <w:r w:rsidR="00E60057" w:rsidRPr="000C3909">
        <w:rPr>
          <w:sz w:val="20"/>
          <w:szCs w:val="20"/>
          <w:lang w:val="en-US"/>
        </w:rPr>
        <w:t>UKE (</w:t>
      </w:r>
      <w:r w:rsidR="00E60057" w:rsidRPr="000C3909">
        <w:rPr>
          <w:sz w:val="20"/>
          <w:szCs w:val="20"/>
        </w:rPr>
        <w:t>електронні комунікації, пошта</w:t>
      </w:r>
      <w:r w:rsidR="00E60057" w:rsidRPr="000C3909">
        <w:rPr>
          <w:sz w:val="20"/>
          <w:szCs w:val="20"/>
          <w:lang w:val="en-US"/>
        </w:rPr>
        <w:t>)</w:t>
      </w:r>
      <w:r w:rsidR="00AD4060" w:rsidRPr="000C3909">
        <w:rPr>
          <w:sz w:val="20"/>
          <w:szCs w:val="20"/>
        </w:rPr>
        <w:t xml:space="preserve">, </w:t>
      </w:r>
      <w:r w:rsidR="00025DF0" w:rsidRPr="000C3909">
        <w:rPr>
          <w:sz w:val="20"/>
          <w:szCs w:val="20"/>
        </w:rPr>
        <w:t xml:space="preserve">Португалія </w:t>
      </w:r>
      <w:r w:rsidR="00025DF0" w:rsidRPr="000C3909">
        <w:rPr>
          <w:sz w:val="20"/>
          <w:szCs w:val="20"/>
          <w:lang w:val="en-US"/>
        </w:rPr>
        <w:t>ANACOM (</w:t>
      </w:r>
      <w:r w:rsidR="00025DF0" w:rsidRPr="000C3909">
        <w:rPr>
          <w:sz w:val="20"/>
          <w:szCs w:val="20"/>
        </w:rPr>
        <w:t>електронні комунікації, пошта</w:t>
      </w:r>
      <w:r w:rsidR="00025DF0" w:rsidRPr="000C3909">
        <w:rPr>
          <w:sz w:val="20"/>
          <w:szCs w:val="20"/>
          <w:lang w:val="en-US"/>
        </w:rPr>
        <w:t>)</w:t>
      </w:r>
      <w:r w:rsidR="00AD4060" w:rsidRPr="000C3909">
        <w:rPr>
          <w:sz w:val="20"/>
          <w:szCs w:val="20"/>
        </w:rPr>
        <w:t xml:space="preserve">, </w:t>
      </w:r>
      <w:r w:rsidR="00025DF0" w:rsidRPr="000C3909">
        <w:rPr>
          <w:sz w:val="20"/>
          <w:szCs w:val="20"/>
        </w:rPr>
        <w:t xml:space="preserve">Румунія </w:t>
      </w:r>
      <w:r w:rsidR="00025DF0" w:rsidRPr="000C3909">
        <w:rPr>
          <w:sz w:val="20"/>
          <w:szCs w:val="20"/>
          <w:lang w:val="en-US"/>
        </w:rPr>
        <w:t>ANCOM</w:t>
      </w:r>
      <w:r w:rsidR="00025DF0" w:rsidRPr="000C3909">
        <w:rPr>
          <w:sz w:val="20"/>
          <w:szCs w:val="20"/>
        </w:rPr>
        <w:t xml:space="preserve"> (</w:t>
      </w:r>
      <w:r w:rsidR="00AD4060" w:rsidRPr="000C3909">
        <w:rPr>
          <w:sz w:val="20"/>
          <w:szCs w:val="20"/>
        </w:rPr>
        <w:t>електронні комунікації, пошта</w:t>
      </w:r>
      <w:r w:rsidR="00025DF0" w:rsidRPr="000C3909">
        <w:rPr>
          <w:sz w:val="20"/>
          <w:szCs w:val="20"/>
        </w:rPr>
        <w:t>)</w:t>
      </w:r>
      <w:r w:rsidR="00AD4060" w:rsidRPr="000C3909">
        <w:rPr>
          <w:sz w:val="20"/>
          <w:szCs w:val="20"/>
        </w:rPr>
        <w:t xml:space="preserve">, Словаччина – </w:t>
      </w:r>
      <w:r w:rsidR="00AD4060" w:rsidRPr="000C3909">
        <w:rPr>
          <w:sz w:val="20"/>
          <w:szCs w:val="20"/>
          <w:lang w:val="en-US"/>
        </w:rPr>
        <w:t>RU (</w:t>
      </w:r>
      <w:r w:rsidR="00AD4060" w:rsidRPr="000C3909">
        <w:rPr>
          <w:sz w:val="20"/>
          <w:szCs w:val="20"/>
        </w:rPr>
        <w:t>електронні комунікації, пошта</w:t>
      </w:r>
      <w:r w:rsidR="00AD4060" w:rsidRPr="000C3909">
        <w:rPr>
          <w:sz w:val="20"/>
          <w:szCs w:val="20"/>
          <w:lang w:val="en-US"/>
        </w:rPr>
        <w:t>)</w:t>
      </w:r>
      <w:r w:rsidR="00822A49" w:rsidRPr="000C3909">
        <w:rPr>
          <w:sz w:val="20"/>
          <w:szCs w:val="20"/>
        </w:rPr>
        <w:t xml:space="preserve">, Швеція – </w:t>
      </w:r>
      <w:r w:rsidR="00AD4060" w:rsidRPr="000C3909">
        <w:rPr>
          <w:sz w:val="20"/>
          <w:szCs w:val="20"/>
          <w:lang w:val="en-US"/>
        </w:rPr>
        <w:t>PTS</w:t>
      </w:r>
      <w:r w:rsidR="00822A49" w:rsidRPr="000C3909">
        <w:rPr>
          <w:sz w:val="20"/>
          <w:szCs w:val="20"/>
        </w:rPr>
        <w:t xml:space="preserve"> (електронні комунікації та пошта)</w:t>
      </w:r>
      <w:r w:rsidR="00225F78" w:rsidRPr="000C3909">
        <w:rPr>
          <w:sz w:val="20"/>
          <w:szCs w:val="20"/>
        </w:rPr>
        <w:t>, Ісландія -РТА (електронні комунікації та пошта)</w:t>
      </w:r>
      <w:r w:rsidR="00C0113B">
        <w:rPr>
          <w:sz w:val="20"/>
          <w:szCs w:val="20"/>
        </w:rPr>
        <w:t>.</w:t>
      </w:r>
    </w:p>
    <w:p w14:paraId="6E11F2D3" w14:textId="2F8CCB4A" w:rsidR="001D44E1" w:rsidRPr="000C3909" w:rsidRDefault="001D44E1" w:rsidP="00907003">
      <w:pPr>
        <w:spacing w:after="100"/>
        <w:ind w:left="426"/>
        <w:rPr>
          <w:i/>
          <w:iCs/>
          <w:sz w:val="20"/>
          <w:szCs w:val="20"/>
        </w:rPr>
      </w:pPr>
      <w:r w:rsidRPr="00C0113B">
        <w:rPr>
          <w:i/>
          <w:iCs/>
          <w:sz w:val="20"/>
          <w:szCs w:val="20"/>
          <w:u w:val="single"/>
        </w:rPr>
        <w:t>Зв'язок і телерадіомовлення, ЗМІ</w:t>
      </w:r>
      <w:r w:rsidR="00822A49" w:rsidRPr="000C3909">
        <w:rPr>
          <w:i/>
          <w:iCs/>
          <w:sz w:val="20"/>
          <w:szCs w:val="20"/>
        </w:rPr>
        <w:t xml:space="preserve"> (</w:t>
      </w:r>
      <w:r w:rsidR="00225F78" w:rsidRPr="000C3909">
        <w:rPr>
          <w:i/>
          <w:iCs/>
          <w:sz w:val="20"/>
          <w:szCs w:val="20"/>
        </w:rPr>
        <w:t>7</w:t>
      </w:r>
      <w:r w:rsidR="00822A49" w:rsidRPr="000C3909">
        <w:rPr>
          <w:i/>
          <w:iCs/>
          <w:sz w:val="20"/>
          <w:szCs w:val="20"/>
        </w:rPr>
        <w:t>):</w:t>
      </w:r>
    </w:p>
    <w:p w14:paraId="1E1D961D" w14:textId="435068B3" w:rsidR="00B1024A" w:rsidRPr="000C3909" w:rsidRDefault="001D44E1" w:rsidP="00907003">
      <w:pPr>
        <w:spacing w:after="100"/>
        <w:ind w:left="426"/>
        <w:rPr>
          <w:sz w:val="20"/>
          <w:szCs w:val="20"/>
        </w:rPr>
      </w:pPr>
      <w:r w:rsidRPr="000C3909">
        <w:rPr>
          <w:sz w:val="20"/>
          <w:szCs w:val="20"/>
        </w:rPr>
        <w:t>Австрія -</w:t>
      </w:r>
      <w:r w:rsidRPr="000C3909">
        <w:rPr>
          <w:sz w:val="20"/>
          <w:szCs w:val="20"/>
          <w:lang w:val="en-US"/>
        </w:rPr>
        <w:t>RTR (</w:t>
      </w:r>
      <w:r w:rsidRPr="000C3909">
        <w:rPr>
          <w:sz w:val="20"/>
          <w:szCs w:val="20"/>
        </w:rPr>
        <w:t xml:space="preserve">радіомовлення та телекомунікації), Бельгія </w:t>
      </w:r>
      <w:r w:rsidRPr="000C3909">
        <w:rPr>
          <w:sz w:val="20"/>
          <w:szCs w:val="20"/>
          <w:lang w:val="en-US"/>
        </w:rPr>
        <w:t>BIPT (</w:t>
      </w:r>
      <w:r w:rsidRPr="000C3909">
        <w:rPr>
          <w:sz w:val="20"/>
          <w:szCs w:val="20"/>
        </w:rPr>
        <w:t>електронні комунікації, пошта, радіочастот для телерадіомовлення),  Франція  - Arcep (електронні комунікації, пошта та розповсюдження друкованих ЗМІ)</w:t>
      </w:r>
      <w:r w:rsidR="00B47C49" w:rsidRPr="000C3909">
        <w:rPr>
          <w:sz w:val="20"/>
          <w:szCs w:val="20"/>
        </w:rPr>
        <w:t xml:space="preserve">, Угорщина </w:t>
      </w:r>
      <w:r w:rsidR="00B47C49" w:rsidRPr="000C3909">
        <w:rPr>
          <w:sz w:val="20"/>
          <w:szCs w:val="20"/>
          <w:lang w:val="en-US"/>
        </w:rPr>
        <w:t xml:space="preserve">NMHH- </w:t>
      </w:r>
      <w:r w:rsidR="00B47C49" w:rsidRPr="000C3909">
        <w:rPr>
          <w:sz w:val="20"/>
          <w:szCs w:val="20"/>
        </w:rPr>
        <w:t>(телебачення радіо, електронні комунікації, пошта)</w:t>
      </w:r>
      <w:r w:rsidR="00255C97" w:rsidRPr="000C3909">
        <w:rPr>
          <w:sz w:val="20"/>
          <w:szCs w:val="20"/>
        </w:rPr>
        <w:t>,</w:t>
      </w:r>
      <w:r w:rsidR="00B8665F" w:rsidRPr="000C3909">
        <w:rPr>
          <w:sz w:val="20"/>
          <w:szCs w:val="20"/>
        </w:rPr>
        <w:t xml:space="preserve"> Італія </w:t>
      </w:r>
      <w:r w:rsidR="00B8665F" w:rsidRPr="000C3909">
        <w:rPr>
          <w:sz w:val="20"/>
          <w:szCs w:val="20"/>
          <w:lang w:val="en-US"/>
        </w:rPr>
        <w:t xml:space="preserve">AGCOM </w:t>
      </w:r>
      <w:r w:rsidR="00B8665F" w:rsidRPr="000C3909">
        <w:rPr>
          <w:sz w:val="20"/>
          <w:szCs w:val="20"/>
        </w:rPr>
        <w:t>(телекомунікації, аудіовізуальні послуги, пошта)</w:t>
      </w:r>
      <w:r w:rsidR="00822A49" w:rsidRPr="000C3909">
        <w:rPr>
          <w:sz w:val="20"/>
          <w:szCs w:val="20"/>
        </w:rPr>
        <w:t xml:space="preserve">, </w:t>
      </w:r>
      <w:r w:rsidR="00C0113B" w:rsidRPr="000C3909">
        <w:rPr>
          <w:sz w:val="20"/>
          <w:szCs w:val="20"/>
          <w:lang w:val="ru-RU"/>
        </w:rPr>
        <w:t>Великобритания</w:t>
      </w:r>
      <w:r w:rsidR="00822A49" w:rsidRPr="000C3909">
        <w:rPr>
          <w:sz w:val="20"/>
          <w:szCs w:val="20"/>
          <w:lang w:val="ru-RU"/>
        </w:rPr>
        <w:t xml:space="preserve"> – </w:t>
      </w:r>
      <w:r w:rsidR="00822A49" w:rsidRPr="000C3909">
        <w:rPr>
          <w:sz w:val="20"/>
          <w:szCs w:val="20"/>
          <w:lang w:val="en-US"/>
        </w:rPr>
        <w:t>Ofcom</w:t>
      </w:r>
      <w:r w:rsidR="00822A49" w:rsidRPr="000C3909">
        <w:rPr>
          <w:sz w:val="20"/>
          <w:szCs w:val="20"/>
        </w:rPr>
        <w:t xml:space="preserve"> (телеком, телерадіомовлення, пошта)</w:t>
      </w:r>
      <w:r w:rsidR="00225F78" w:rsidRPr="000C3909">
        <w:rPr>
          <w:sz w:val="20"/>
          <w:szCs w:val="20"/>
        </w:rPr>
        <w:t>, Ліхтенштейн АК (електронні комунікації, пошта, електронні довірчі послуги, ЗМІ)</w:t>
      </w:r>
    </w:p>
    <w:p w14:paraId="1CFFD73C" w14:textId="77777777" w:rsidR="00822A49" w:rsidRPr="000C3909" w:rsidRDefault="001D44E1" w:rsidP="00907003">
      <w:pPr>
        <w:spacing w:after="100"/>
        <w:ind w:left="426"/>
        <w:rPr>
          <w:i/>
          <w:iCs/>
          <w:sz w:val="20"/>
          <w:szCs w:val="20"/>
          <w:u w:val="single"/>
        </w:rPr>
      </w:pPr>
      <w:r w:rsidRPr="000C3909">
        <w:rPr>
          <w:i/>
          <w:iCs/>
          <w:sz w:val="20"/>
          <w:szCs w:val="20"/>
          <w:u w:val="single"/>
        </w:rPr>
        <w:t xml:space="preserve">Міжгалузеві регулятори </w:t>
      </w:r>
      <w:r w:rsidR="00822A49" w:rsidRPr="000C3909">
        <w:rPr>
          <w:i/>
          <w:iCs/>
          <w:sz w:val="20"/>
          <w:szCs w:val="20"/>
          <w:u w:val="single"/>
        </w:rPr>
        <w:t xml:space="preserve">(6): </w:t>
      </w:r>
    </w:p>
    <w:p w14:paraId="50C33974" w14:textId="2982E109" w:rsidR="00822A49" w:rsidRPr="000C3909" w:rsidRDefault="00AA2E99" w:rsidP="00907003">
      <w:pPr>
        <w:spacing w:after="100"/>
        <w:ind w:left="426"/>
        <w:rPr>
          <w:sz w:val="20"/>
          <w:szCs w:val="20"/>
        </w:rPr>
      </w:pPr>
      <w:r w:rsidRPr="000C3909">
        <w:rPr>
          <w:sz w:val="20"/>
          <w:szCs w:val="20"/>
        </w:rPr>
        <w:t>Данія –</w:t>
      </w:r>
      <w:r w:rsidRPr="000C3909">
        <w:rPr>
          <w:sz w:val="20"/>
          <w:szCs w:val="20"/>
          <w:lang w:val="en-US"/>
        </w:rPr>
        <w:t xml:space="preserve"> DBA</w:t>
      </w:r>
      <w:r w:rsidRPr="000C3909">
        <w:rPr>
          <w:sz w:val="20"/>
          <w:szCs w:val="20"/>
        </w:rPr>
        <w:t xml:space="preserve"> (орган </w:t>
      </w:r>
      <w:r w:rsidR="00703BF6" w:rsidRPr="000C3909">
        <w:rPr>
          <w:sz w:val="20"/>
          <w:szCs w:val="20"/>
        </w:rPr>
        <w:t xml:space="preserve">регулювання </w:t>
      </w:r>
      <w:r w:rsidRPr="000C3909">
        <w:rPr>
          <w:sz w:val="20"/>
          <w:szCs w:val="20"/>
        </w:rPr>
        <w:t>бізн</w:t>
      </w:r>
      <w:r w:rsidR="00703BF6" w:rsidRPr="000C3909">
        <w:rPr>
          <w:sz w:val="20"/>
          <w:szCs w:val="20"/>
        </w:rPr>
        <w:t>е</w:t>
      </w:r>
      <w:r w:rsidRPr="000C3909">
        <w:rPr>
          <w:sz w:val="20"/>
          <w:szCs w:val="20"/>
        </w:rPr>
        <w:t>с</w:t>
      </w:r>
      <w:r w:rsidR="00703BF6" w:rsidRPr="000C3909">
        <w:rPr>
          <w:sz w:val="20"/>
          <w:szCs w:val="20"/>
        </w:rPr>
        <w:t>у</w:t>
      </w:r>
      <w:r w:rsidRPr="000C3909">
        <w:rPr>
          <w:sz w:val="20"/>
          <w:szCs w:val="20"/>
        </w:rPr>
        <w:t>)</w:t>
      </w:r>
      <w:r w:rsidR="00822A49" w:rsidRPr="000C3909">
        <w:rPr>
          <w:sz w:val="20"/>
          <w:szCs w:val="20"/>
        </w:rPr>
        <w:t xml:space="preserve">, </w:t>
      </w:r>
      <w:r w:rsidR="00891FFC" w:rsidRPr="000C3909">
        <w:rPr>
          <w:sz w:val="20"/>
          <w:szCs w:val="20"/>
        </w:rPr>
        <w:t>Естонія – ЕТРА (міністерство економічних справ і комунікацій)</w:t>
      </w:r>
      <w:r w:rsidR="00822A49" w:rsidRPr="000C3909">
        <w:rPr>
          <w:sz w:val="20"/>
          <w:szCs w:val="20"/>
        </w:rPr>
        <w:t xml:space="preserve">, </w:t>
      </w:r>
      <w:r w:rsidR="00FE7052" w:rsidRPr="000C3909">
        <w:rPr>
          <w:sz w:val="20"/>
          <w:szCs w:val="20"/>
        </w:rPr>
        <w:t>Німеччин</w:t>
      </w:r>
      <w:r w:rsidR="004D5D4F" w:rsidRPr="000C3909">
        <w:rPr>
          <w:sz w:val="20"/>
          <w:szCs w:val="20"/>
        </w:rPr>
        <w:t>а</w:t>
      </w:r>
      <w:r w:rsidR="00FE7052" w:rsidRPr="000C3909">
        <w:rPr>
          <w:sz w:val="20"/>
          <w:szCs w:val="20"/>
        </w:rPr>
        <w:t xml:space="preserve"> </w:t>
      </w:r>
      <w:r w:rsidR="00B1024A" w:rsidRPr="000C3909">
        <w:rPr>
          <w:sz w:val="20"/>
          <w:szCs w:val="20"/>
          <w:lang w:val="en-US"/>
        </w:rPr>
        <w:t xml:space="preserve">BNetzA </w:t>
      </w:r>
      <w:r w:rsidR="00FE7052" w:rsidRPr="000C3909">
        <w:rPr>
          <w:sz w:val="20"/>
          <w:szCs w:val="20"/>
        </w:rPr>
        <w:t>(федеральне мережеве агентство</w:t>
      </w:r>
      <w:r w:rsidR="00891FFC" w:rsidRPr="000C3909">
        <w:rPr>
          <w:sz w:val="20"/>
          <w:szCs w:val="20"/>
        </w:rPr>
        <w:t xml:space="preserve"> – </w:t>
      </w:r>
      <w:r w:rsidR="00FE7052" w:rsidRPr="000C3909">
        <w:rPr>
          <w:sz w:val="20"/>
          <w:szCs w:val="20"/>
        </w:rPr>
        <w:t>телеком</w:t>
      </w:r>
      <w:r w:rsidR="00891FFC" w:rsidRPr="000C3909">
        <w:rPr>
          <w:sz w:val="20"/>
          <w:szCs w:val="20"/>
        </w:rPr>
        <w:t>,</w:t>
      </w:r>
      <w:r w:rsidR="00FE7052" w:rsidRPr="000C3909">
        <w:rPr>
          <w:sz w:val="20"/>
          <w:szCs w:val="20"/>
        </w:rPr>
        <w:t xml:space="preserve"> пошт</w:t>
      </w:r>
      <w:r w:rsidR="00891FFC" w:rsidRPr="000C3909">
        <w:rPr>
          <w:sz w:val="20"/>
          <w:szCs w:val="20"/>
        </w:rPr>
        <w:t>а</w:t>
      </w:r>
      <w:r w:rsidR="00FE7052" w:rsidRPr="000C3909">
        <w:rPr>
          <w:sz w:val="20"/>
          <w:szCs w:val="20"/>
        </w:rPr>
        <w:t>, залізниц</w:t>
      </w:r>
      <w:r w:rsidR="00891FFC" w:rsidRPr="000C3909">
        <w:rPr>
          <w:sz w:val="20"/>
          <w:szCs w:val="20"/>
        </w:rPr>
        <w:t>я</w:t>
      </w:r>
      <w:r w:rsidR="00FE7052" w:rsidRPr="000C3909">
        <w:rPr>
          <w:sz w:val="20"/>
          <w:szCs w:val="20"/>
        </w:rPr>
        <w:t>, електр</w:t>
      </w:r>
      <w:r w:rsidR="00AD4060" w:rsidRPr="000C3909">
        <w:rPr>
          <w:sz w:val="20"/>
          <w:szCs w:val="20"/>
        </w:rPr>
        <w:t>о</w:t>
      </w:r>
      <w:r w:rsidR="00FE7052" w:rsidRPr="000C3909">
        <w:rPr>
          <w:sz w:val="20"/>
          <w:szCs w:val="20"/>
        </w:rPr>
        <w:t>енергетик</w:t>
      </w:r>
      <w:r w:rsidR="00891FFC" w:rsidRPr="000C3909">
        <w:rPr>
          <w:sz w:val="20"/>
          <w:szCs w:val="20"/>
        </w:rPr>
        <w:t>а</w:t>
      </w:r>
      <w:r w:rsidR="00440148" w:rsidRPr="000C3909">
        <w:rPr>
          <w:sz w:val="20"/>
          <w:szCs w:val="20"/>
        </w:rPr>
        <w:t>, газ</w:t>
      </w:r>
      <w:r w:rsidR="00891FFC" w:rsidRPr="000C3909">
        <w:rPr>
          <w:sz w:val="20"/>
          <w:szCs w:val="20"/>
        </w:rPr>
        <w:t>)</w:t>
      </w:r>
      <w:r w:rsidR="00822A49" w:rsidRPr="000C3909">
        <w:rPr>
          <w:sz w:val="20"/>
          <w:szCs w:val="20"/>
        </w:rPr>
        <w:t xml:space="preserve">, </w:t>
      </w:r>
      <w:r w:rsidR="006F7F0B" w:rsidRPr="000C3909">
        <w:rPr>
          <w:sz w:val="20"/>
          <w:szCs w:val="20"/>
        </w:rPr>
        <w:t xml:space="preserve">Латвія - </w:t>
      </w:r>
      <w:r w:rsidR="006F7F0B" w:rsidRPr="000C3909">
        <w:rPr>
          <w:sz w:val="20"/>
          <w:szCs w:val="20"/>
          <w:lang w:val="en-US"/>
        </w:rPr>
        <w:t xml:space="preserve">SPRC </w:t>
      </w:r>
      <w:r w:rsidR="006F7F0B" w:rsidRPr="000C3909">
        <w:rPr>
          <w:sz w:val="20"/>
          <w:szCs w:val="20"/>
        </w:rPr>
        <w:t>(комунальні послуги, енергетика, електронні комунікації, пошта, управління комунальними відходами, водопостачання)</w:t>
      </w:r>
      <w:r w:rsidR="00822A49" w:rsidRPr="000C3909">
        <w:rPr>
          <w:sz w:val="20"/>
          <w:szCs w:val="20"/>
        </w:rPr>
        <w:t xml:space="preserve">, </w:t>
      </w:r>
      <w:r w:rsidR="00E60057" w:rsidRPr="000C3909">
        <w:rPr>
          <w:sz w:val="20"/>
          <w:szCs w:val="20"/>
        </w:rPr>
        <w:t>Нідерланди – АСМ (енергетика, електронні комунікації, транспорт, пошта)</w:t>
      </w:r>
      <w:r w:rsidR="00822A49" w:rsidRPr="000C3909">
        <w:rPr>
          <w:sz w:val="20"/>
          <w:szCs w:val="20"/>
        </w:rPr>
        <w:t xml:space="preserve">, Іспанія </w:t>
      </w:r>
      <w:r w:rsidR="00822A49" w:rsidRPr="000C3909">
        <w:rPr>
          <w:sz w:val="20"/>
          <w:szCs w:val="20"/>
          <w:lang w:val="en-US"/>
        </w:rPr>
        <w:t xml:space="preserve">CNMC </w:t>
      </w:r>
      <w:r w:rsidR="00822A49" w:rsidRPr="000C3909">
        <w:rPr>
          <w:sz w:val="20"/>
          <w:szCs w:val="20"/>
        </w:rPr>
        <w:t>(орган з питань конкуренції, до нього в 2013 р. були приєднані регулятори в енергетиці, транспорті, зв’язку )</w:t>
      </w:r>
    </w:p>
    <w:p w14:paraId="6C660971" w14:textId="7BCBF2B9" w:rsidR="00AD4060" w:rsidRPr="000C3909" w:rsidRDefault="00E60057" w:rsidP="00907003">
      <w:pPr>
        <w:spacing w:after="100"/>
        <w:ind w:left="426"/>
        <w:rPr>
          <w:sz w:val="20"/>
          <w:szCs w:val="20"/>
        </w:rPr>
      </w:pPr>
      <w:r w:rsidRPr="00C0113B">
        <w:rPr>
          <w:i/>
          <w:iCs/>
          <w:sz w:val="20"/>
          <w:szCs w:val="20"/>
          <w:u w:val="single"/>
        </w:rPr>
        <w:t xml:space="preserve">Об’єднують </w:t>
      </w:r>
      <w:r w:rsidR="00822A49" w:rsidRPr="00C0113B">
        <w:rPr>
          <w:i/>
          <w:iCs/>
          <w:sz w:val="20"/>
          <w:szCs w:val="20"/>
          <w:u w:val="single"/>
        </w:rPr>
        <w:t xml:space="preserve">лише </w:t>
      </w:r>
      <w:r w:rsidRPr="00C0113B">
        <w:rPr>
          <w:i/>
          <w:iCs/>
          <w:sz w:val="20"/>
          <w:szCs w:val="20"/>
          <w:u w:val="single"/>
        </w:rPr>
        <w:t>транспорт і зв'язок</w:t>
      </w:r>
      <w:r w:rsidR="00822A49" w:rsidRPr="000C3909">
        <w:rPr>
          <w:i/>
          <w:iCs/>
          <w:sz w:val="20"/>
          <w:szCs w:val="20"/>
        </w:rPr>
        <w:t xml:space="preserve"> (4)</w:t>
      </w:r>
      <w:r w:rsidRPr="000C3909">
        <w:rPr>
          <w:i/>
          <w:iCs/>
          <w:sz w:val="20"/>
          <w:szCs w:val="20"/>
        </w:rPr>
        <w:t>:</w:t>
      </w:r>
      <w:r w:rsidRPr="000C3909">
        <w:rPr>
          <w:sz w:val="20"/>
          <w:szCs w:val="20"/>
        </w:rPr>
        <w:t xml:space="preserve"> Хорватія – </w:t>
      </w:r>
      <w:r w:rsidRPr="000C3909">
        <w:rPr>
          <w:sz w:val="20"/>
          <w:szCs w:val="20"/>
          <w:lang w:val="en-US"/>
        </w:rPr>
        <w:t>HACOM (</w:t>
      </w:r>
      <w:r w:rsidRPr="000C3909">
        <w:rPr>
          <w:sz w:val="20"/>
          <w:szCs w:val="20"/>
        </w:rPr>
        <w:t>електронні комунікації, поштові послуги, залізниця</w:t>
      </w:r>
      <w:r w:rsidRPr="000C3909">
        <w:rPr>
          <w:sz w:val="20"/>
          <w:szCs w:val="20"/>
          <w:lang w:val="en-US"/>
        </w:rPr>
        <w:t>)</w:t>
      </w:r>
      <w:r w:rsidRPr="000C3909">
        <w:rPr>
          <w:sz w:val="20"/>
          <w:szCs w:val="20"/>
        </w:rPr>
        <w:t xml:space="preserve">, Фінляндія </w:t>
      </w:r>
      <w:r w:rsidRPr="000C3909">
        <w:rPr>
          <w:sz w:val="20"/>
          <w:szCs w:val="20"/>
          <w:lang w:val="en-US"/>
        </w:rPr>
        <w:t xml:space="preserve">– FICORA </w:t>
      </w:r>
      <w:r w:rsidRPr="000C3909">
        <w:rPr>
          <w:sz w:val="20"/>
          <w:szCs w:val="20"/>
        </w:rPr>
        <w:t xml:space="preserve">(транспорт і залізниця), Литва </w:t>
      </w:r>
      <w:r w:rsidRPr="000C3909">
        <w:rPr>
          <w:sz w:val="20"/>
          <w:szCs w:val="20"/>
          <w:lang w:val="en-US"/>
        </w:rPr>
        <w:t>RRT (</w:t>
      </w:r>
      <w:r w:rsidRPr="000C3909">
        <w:rPr>
          <w:sz w:val="20"/>
          <w:szCs w:val="20"/>
        </w:rPr>
        <w:t>електронні комунікації, пошта, залізниця</w:t>
      </w:r>
      <w:r w:rsidRPr="000C3909">
        <w:rPr>
          <w:sz w:val="20"/>
          <w:szCs w:val="20"/>
          <w:lang w:val="en-US"/>
        </w:rPr>
        <w:t>)</w:t>
      </w:r>
      <w:r w:rsidR="00AD4060" w:rsidRPr="000C3909">
        <w:rPr>
          <w:sz w:val="20"/>
          <w:szCs w:val="20"/>
        </w:rPr>
        <w:t xml:space="preserve">, Словенія - </w:t>
      </w:r>
      <w:r w:rsidR="00AD4060" w:rsidRPr="000C3909">
        <w:rPr>
          <w:sz w:val="20"/>
          <w:szCs w:val="20"/>
          <w:lang w:val="en-US"/>
        </w:rPr>
        <w:t xml:space="preserve">AKOS </w:t>
      </w:r>
      <w:r w:rsidR="00AD4060" w:rsidRPr="000C3909">
        <w:rPr>
          <w:sz w:val="20"/>
          <w:szCs w:val="20"/>
        </w:rPr>
        <w:t>(телекомунікації, телерадіомовлення, пошта, залізниця)</w:t>
      </w:r>
      <w:r w:rsidR="007E56A7" w:rsidRPr="000C3909">
        <w:rPr>
          <w:sz w:val="20"/>
          <w:szCs w:val="20"/>
        </w:rPr>
        <w:t>.</w:t>
      </w:r>
    </w:p>
    <w:p w14:paraId="4C46E285" w14:textId="7ECD7157" w:rsidR="00BA1530" w:rsidRPr="000C3909" w:rsidRDefault="00FC4E63" w:rsidP="00907003">
      <w:pPr>
        <w:spacing w:after="100"/>
        <w:ind w:left="426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Посилання на офіційні веб-сайти зазначених регуляторів : </w:t>
      </w:r>
      <w:hyperlink r:id="rId10" w:history="1">
        <w:r w:rsidRPr="00225141">
          <w:rPr>
            <w:rStyle w:val="a5"/>
            <w:sz w:val="20"/>
            <w:szCs w:val="20"/>
          </w:rPr>
          <w:t>https://ec.europa.eu/digital-single-market/en/telecommunications-national-regulatory-authorities</w:t>
        </w:r>
      </w:hyperlink>
      <w:r>
        <w:rPr>
          <w:sz w:val="20"/>
          <w:szCs w:val="20"/>
        </w:rPr>
        <w:t>.</w:t>
      </w:r>
    </w:p>
    <w:p w14:paraId="29E595D3" w14:textId="566CD737" w:rsidR="00BC23D9" w:rsidRPr="00BC23D9" w:rsidRDefault="00BC23D9" w:rsidP="00907003">
      <w:pPr>
        <w:spacing w:after="100"/>
        <w:rPr>
          <w:b/>
          <w:bCs/>
        </w:rPr>
      </w:pPr>
      <w:r w:rsidRPr="00BC23D9">
        <w:rPr>
          <w:b/>
          <w:bCs/>
        </w:rPr>
        <w:t>Гарантії незалежності</w:t>
      </w:r>
    </w:p>
    <w:p w14:paraId="2C6C9FF8" w14:textId="34203871" w:rsidR="00242C62" w:rsidRPr="009376AD" w:rsidRDefault="001B2BEF" w:rsidP="00907003">
      <w:pPr>
        <w:spacing w:after="100"/>
        <w:rPr>
          <w:i/>
          <w:iCs/>
        </w:rPr>
      </w:pPr>
      <w:r w:rsidRPr="009376AD">
        <w:rPr>
          <w:i/>
          <w:iCs/>
        </w:rPr>
        <w:t>Ознаки незалежності регуляторних органів в</w:t>
      </w:r>
      <w:r w:rsidR="00242C62" w:rsidRPr="009376AD">
        <w:rPr>
          <w:i/>
          <w:iCs/>
        </w:rPr>
        <w:t xml:space="preserve">ідповідно до </w:t>
      </w:r>
      <w:r w:rsidR="002E194A" w:rsidRPr="009376AD">
        <w:rPr>
          <w:i/>
          <w:iCs/>
        </w:rPr>
        <w:t xml:space="preserve">п. 37, </w:t>
      </w:r>
      <w:r w:rsidRPr="009376AD">
        <w:rPr>
          <w:i/>
          <w:iCs/>
        </w:rPr>
        <w:t>статей 6 та</w:t>
      </w:r>
      <w:r w:rsidR="002F58F8" w:rsidRPr="009376AD">
        <w:rPr>
          <w:i/>
          <w:iCs/>
        </w:rPr>
        <w:t xml:space="preserve"> </w:t>
      </w:r>
      <w:r w:rsidRPr="009376AD">
        <w:rPr>
          <w:i/>
          <w:iCs/>
        </w:rPr>
        <w:t xml:space="preserve">8 </w:t>
      </w:r>
      <w:r w:rsidR="00242C62" w:rsidRPr="009376AD">
        <w:rPr>
          <w:i/>
          <w:iCs/>
        </w:rPr>
        <w:t>Директиви ЄС 1972/2018</w:t>
      </w:r>
      <w:r w:rsidRPr="009376AD">
        <w:rPr>
          <w:i/>
          <w:iCs/>
        </w:rPr>
        <w:t>:</w:t>
      </w:r>
    </w:p>
    <w:p w14:paraId="75CFBB77" w14:textId="30BBE271" w:rsidR="001B2BEF" w:rsidRPr="009376AD" w:rsidRDefault="001B2BEF" w:rsidP="00907003">
      <w:pPr>
        <w:spacing w:after="100"/>
        <w:rPr>
          <w:i/>
          <w:iCs/>
        </w:rPr>
      </w:pPr>
      <w:r w:rsidRPr="009376AD">
        <w:rPr>
          <w:i/>
          <w:iCs/>
        </w:rPr>
        <w:t>є юридично відмінними від будь-якої фізичної або юридичної особи, що надає електронні комунікаційні мережі, обладнання або послуги (ефективне структурне відділення регуляторної функції від діяльності, пов'язаної з правом власності або контролем держави щодо підприємств, що надають електронні комунікаційні мережі або послуги);</w:t>
      </w:r>
    </w:p>
    <w:p w14:paraId="7F56DC7C" w14:textId="1A38D31F" w:rsidR="001B2BEF" w:rsidRPr="009376AD" w:rsidRDefault="001B2BEF" w:rsidP="00907003">
      <w:pPr>
        <w:spacing w:after="100"/>
        <w:rPr>
          <w:i/>
          <w:iCs/>
        </w:rPr>
      </w:pPr>
      <w:r w:rsidRPr="009376AD">
        <w:rPr>
          <w:i/>
          <w:iCs/>
        </w:rPr>
        <w:t>здійснюють свої повноваження неупереджено, прозоро і своєчасно;</w:t>
      </w:r>
    </w:p>
    <w:p w14:paraId="2753459A" w14:textId="285C7DE7" w:rsidR="001B2BEF" w:rsidRPr="009376AD" w:rsidRDefault="00351B91" w:rsidP="00907003">
      <w:pPr>
        <w:spacing w:after="100"/>
        <w:rPr>
          <w:i/>
          <w:iCs/>
        </w:rPr>
      </w:pPr>
      <w:r w:rsidRPr="009376AD">
        <w:rPr>
          <w:i/>
          <w:iCs/>
        </w:rPr>
        <w:t>діють незалежно та об'єктивно, включаючи розробку внутрішніх процедур та призначення персоналу</w:t>
      </w:r>
      <w:r w:rsidR="001B2BEF" w:rsidRPr="009376AD">
        <w:rPr>
          <w:i/>
          <w:iCs/>
        </w:rPr>
        <w:t>;</w:t>
      </w:r>
      <w:r w:rsidRPr="009376AD">
        <w:rPr>
          <w:i/>
          <w:iCs/>
        </w:rPr>
        <w:t xml:space="preserve"> діють прозоро та підзвітно у відповідності до законодавства</w:t>
      </w:r>
      <w:r w:rsidR="001B2BEF" w:rsidRPr="009376AD">
        <w:rPr>
          <w:i/>
          <w:iCs/>
        </w:rPr>
        <w:t>;</w:t>
      </w:r>
    </w:p>
    <w:p w14:paraId="62EF534A" w14:textId="1C4E22E9" w:rsidR="001B2BEF" w:rsidRPr="009376AD" w:rsidRDefault="00351B91" w:rsidP="00907003">
      <w:pPr>
        <w:spacing w:after="100"/>
        <w:rPr>
          <w:i/>
          <w:iCs/>
        </w:rPr>
      </w:pPr>
      <w:r w:rsidRPr="009376AD">
        <w:rPr>
          <w:i/>
          <w:iCs/>
        </w:rPr>
        <w:t>не приймають інструкції від будь-якого іншого органу стосовно виконання завдань, покладених на них відповідно до національного законодавства</w:t>
      </w:r>
      <w:r w:rsidR="001B2BEF" w:rsidRPr="009376AD">
        <w:rPr>
          <w:i/>
          <w:iCs/>
        </w:rPr>
        <w:t xml:space="preserve"> (ц</w:t>
      </w:r>
      <w:r w:rsidRPr="009376AD">
        <w:rPr>
          <w:i/>
          <w:iCs/>
        </w:rPr>
        <w:t>е не заважає нагляду відповідно до національного конституційного права</w:t>
      </w:r>
      <w:r w:rsidR="001B2BEF" w:rsidRPr="009376AD">
        <w:rPr>
          <w:i/>
          <w:iCs/>
        </w:rPr>
        <w:t>);</w:t>
      </w:r>
      <w:r w:rsidRPr="009376AD">
        <w:rPr>
          <w:i/>
          <w:iCs/>
        </w:rPr>
        <w:t xml:space="preserve"> </w:t>
      </w:r>
    </w:p>
    <w:p w14:paraId="7C9E13D7" w14:textId="50C9191E" w:rsidR="002E194A" w:rsidRPr="009376AD" w:rsidRDefault="002E194A" w:rsidP="00907003">
      <w:pPr>
        <w:spacing w:after="100"/>
        <w:rPr>
          <w:i/>
          <w:iCs/>
        </w:rPr>
      </w:pPr>
      <w:r w:rsidRPr="009376AD">
        <w:rPr>
          <w:i/>
          <w:iCs/>
        </w:rPr>
        <w:t>мають належні технічні, фінансові та людські ресурси для виконання поставлених завдань;</w:t>
      </w:r>
    </w:p>
    <w:p w14:paraId="7EFC0BC0" w14:textId="1422AA38" w:rsidR="00351B91" w:rsidRPr="009376AD" w:rsidRDefault="001B2BEF" w:rsidP="00907003">
      <w:pPr>
        <w:spacing w:after="100"/>
        <w:rPr>
          <w:i/>
          <w:iCs/>
        </w:rPr>
      </w:pPr>
      <w:r w:rsidRPr="009376AD">
        <w:rPr>
          <w:i/>
          <w:iCs/>
        </w:rPr>
        <w:t>л</w:t>
      </w:r>
      <w:r w:rsidR="00351B91" w:rsidRPr="009376AD">
        <w:rPr>
          <w:i/>
          <w:iCs/>
        </w:rPr>
        <w:t>ише апеляційні органи, створені відповідно до Статті 31, мають право призупиняти або скасовувати рішення національних регуляторних органів</w:t>
      </w:r>
      <w:r w:rsidRPr="009376AD">
        <w:rPr>
          <w:i/>
          <w:iCs/>
        </w:rPr>
        <w:t>;</w:t>
      </w:r>
      <w:r w:rsidR="00351B91" w:rsidRPr="009376AD">
        <w:rPr>
          <w:i/>
          <w:iCs/>
        </w:rPr>
        <w:t xml:space="preserve"> </w:t>
      </w:r>
    </w:p>
    <w:p w14:paraId="26F9D0EC" w14:textId="43ABA40C" w:rsidR="002F58F8" w:rsidRDefault="00242C62" w:rsidP="00907003">
      <w:pPr>
        <w:spacing w:after="100"/>
        <w:rPr>
          <w:i/>
          <w:iCs/>
        </w:rPr>
      </w:pPr>
      <w:r w:rsidRPr="009376AD">
        <w:rPr>
          <w:i/>
          <w:iCs/>
        </w:rPr>
        <w:t>підстав</w:t>
      </w:r>
      <w:r w:rsidR="002E194A" w:rsidRPr="009376AD">
        <w:rPr>
          <w:i/>
          <w:iCs/>
        </w:rPr>
        <w:t>и</w:t>
      </w:r>
      <w:r w:rsidRPr="009376AD">
        <w:rPr>
          <w:i/>
          <w:iCs/>
        </w:rPr>
        <w:t xml:space="preserve"> для звільнення голови </w:t>
      </w:r>
      <w:r w:rsidR="002E194A" w:rsidRPr="009376AD">
        <w:rPr>
          <w:i/>
          <w:iCs/>
        </w:rPr>
        <w:t xml:space="preserve">та членів </w:t>
      </w:r>
      <w:r w:rsidRPr="009376AD">
        <w:rPr>
          <w:i/>
          <w:iCs/>
        </w:rPr>
        <w:t xml:space="preserve">регулюючого органу </w:t>
      </w:r>
      <w:r w:rsidR="002E194A" w:rsidRPr="009376AD">
        <w:rPr>
          <w:i/>
          <w:iCs/>
        </w:rPr>
        <w:t xml:space="preserve">повинні забезпечувати </w:t>
      </w:r>
      <w:r w:rsidRPr="009376AD">
        <w:rPr>
          <w:i/>
          <w:iCs/>
        </w:rPr>
        <w:t>нейтральн</w:t>
      </w:r>
      <w:r w:rsidR="002E194A" w:rsidRPr="009376AD">
        <w:rPr>
          <w:i/>
          <w:iCs/>
        </w:rPr>
        <w:t xml:space="preserve">ість та </w:t>
      </w:r>
      <w:r w:rsidRPr="009376AD">
        <w:rPr>
          <w:i/>
          <w:iCs/>
        </w:rPr>
        <w:t>прозор</w:t>
      </w:r>
      <w:r w:rsidR="002E194A" w:rsidRPr="009376AD">
        <w:rPr>
          <w:i/>
          <w:iCs/>
        </w:rPr>
        <w:t>ість</w:t>
      </w:r>
      <w:r w:rsidR="008206CF">
        <w:rPr>
          <w:i/>
          <w:iCs/>
        </w:rPr>
        <w:t>.</w:t>
      </w:r>
    </w:p>
    <w:p w14:paraId="3787B984" w14:textId="3F845375" w:rsidR="00A00698" w:rsidRDefault="00A00698" w:rsidP="00907003">
      <w:pPr>
        <w:spacing w:after="100"/>
        <w:rPr>
          <w:rFonts w:ascii="Calibri" w:hAnsi="Calibri" w:cs="Calibri"/>
        </w:rPr>
      </w:pPr>
      <w:r w:rsidRPr="00D13334">
        <w:rPr>
          <w:rFonts w:ascii="Calibri" w:hAnsi="Calibri" w:cs="Calibri"/>
        </w:rPr>
        <w:t>У зв'язку з характером рішень</w:t>
      </w:r>
      <w:r>
        <w:rPr>
          <w:rFonts w:ascii="Calibri" w:hAnsi="Calibri" w:cs="Calibri"/>
        </w:rPr>
        <w:t>, що приймаються</w:t>
      </w:r>
      <w:r w:rsidRPr="00D13334">
        <w:rPr>
          <w:rFonts w:ascii="Calibri" w:hAnsi="Calibri" w:cs="Calibri"/>
        </w:rPr>
        <w:t xml:space="preserve"> вкрай важлив</w:t>
      </w:r>
      <w:r w:rsidR="00775B75">
        <w:rPr>
          <w:rFonts w:ascii="Calibri" w:hAnsi="Calibri" w:cs="Calibri"/>
        </w:rPr>
        <w:t>им є</w:t>
      </w:r>
      <w:r w:rsidRPr="00D13334">
        <w:rPr>
          <w:rFonts w:ascii="Calibri" w:hAnsi="Calibri" w:cs="Calibri"/>
        </w:rPr>
        <w:t xml:space="preserve"> законодавче забезпечення інституційної, структурної та фінансової незалежності </w:t>
      </w:r>
      <w:r>
        <w:rPr>
          <w:rFonts w:ascii="Calibri" w:hAnsi="Calibri" w:cs="Calibri"/>
        </w:rPr>
        <w:t>регуляторного органу.</w:t>
      </w:r>
      <w:r w:rsidR="00FC4E63">
        <w:rPr>
          <w:rFonts w:ascii="Calibri" w:hAnsi="Calibri" w:cs="Calibri"/>
        </w:rPr>
        <w:t xml:space="preserve"> Без цього неможлив</w:t>
      </w:r>
      <w:r w:rsidR="00775B75">
        <w:rPr>
          <w:rFonts w:ascii="Calibri" w:hAnsi="Calibri" w:cs="Calibri"/>
        </w:rPr>
        <w:t>е</w:t>
      </w:r>
      <w:r w:rsidR="00FC4E63">
        <w:rPr>
          <w:rFonts w:ascii="Calibri" w:hAnsi="Calibri" w:cs="Calibri"/>
        </w:rPr>
        <w:t xml:space="preserve"> ефективне реформування регуляторних засад галузі. </w:t>
      </w:r>
      <w:r w:rsidR="008206CF">
        <w:rPr>
          <w:rFonts w:ascii="Calibri" w:hAnsi="Calibri" w:cs="Calibri"/>
        </w:rPr>
        <w:t xml:space="preserve">Крім того, </w:t>
      </w:r>
      <w:r w:rsidR="00FC4E63">
        <w:rPr>
          <w:rFonts w:ascii="Calibri" w:hAnsi="Calibri" w:cs="Calibri"/>
        </w:rPr>
        <w:t>юридична і фактична  незалежність регулятора є однією  з ключових умов виконання Угоди про асоціацію та інтеграції до єдиного цифрового ринку ЄС.</w:t>
      </w:r>
    </w:p>
    <w:p w14:paraId="5D6BC5E8" w14:textId="4C3DF81A" w:rsidR="008206CF" w:rsidRPr="008206CF" w:rsidRDefault="008206CF" w:rsidP="00907003">
      <w:pPr>
        <w:pStyle w:val="a7"/>
        <w:spacing w:after="100"/>
        <w:rPr>
          <w:rFonts w:ascii="Calibri" w:hAnsi="Calibri" w:cs="Calibri"/>
          <w:sz w:val="22"/>
          <w:szCs w:val="22"/>
        </w:rPr>
      </w:pPr>
      <w:r w:rsidRPr="008206CF">
        <w:rPr>
          <w:rFonts w:ascii="Calibri" w:hAnsi="Calibri" w:cs="Calibri"/>
          <w:sz w:val="22"/>
          <w:szCs w:val="22"/>
        </w:rPr>
        <w:t>Також пропонуємо внести зміни ст. 344 КК</w:t>
      </w:r>
      <w:r w:rsidR="00775B75">
        <w:rPr>
          <w:rFonts w:ascii="Calibri" w:hAnsi="Calibri" w:cs="Calibri"/>
          <w:sz w:val="22"/>
          <w:szCs w:val="22"/>
        </w:rPr>
        <w:t>У</w:t>
      </w:r>
      <w:r w:rsidRPr="008206CF">
        <w:rPr>
          <w:rFonts w:ascii="Calibri" w:hAnsi="Calibri" w:cs="Calibri"/>
          <w:sz w:val="22"/>
          <w:szCs w:val="22"/>
        </w:rPr>
        <w:t xml:space="preserve">, передбачивши відповідальність  за незаконний вплив на </w:t>
      </w:r>
      <w:r>
        <w:rPr>
          <w:rFonts w:ascii="Calibri" w:hAnsi="Calibri" w:cs="Calibri"/>
          <w:sz w:val="22"/>
          <w:szCs w:val="22"/>
        </w:rPr>
        <w:t xml:space="preserve">діяльність </w:t>
      </w:r>
      <w:r w:rsidRPr="008206CF">
        <w:rPr>
          <w:rFonts w:ascii="Calibri" w:hAnsi="Calibri" w:cs="Calibri"/>
          <w:sz w:val="22"/>
          <w:szCs w:val="22"/>
        </w:rPr>
        <w:t>членів регулятора.</w:t>
      </w:r>
    </w:p>
    <w:p w14:paraId="06B66979" w14:textId="53CE07AB" w:rsidR="00242C62" w:rsidRDefault="00242C62" w:rsidP="00907003">
      <w:pPr>
        <w:spacing w:after="100"/>
        <w:rPr>
          <w:b/>
          <w:bCs/>
        </w:rPr>
      </w:pPr>
      <w:r w:rsidRPr="00242C62">
        <w:rPr>
          <w:b/>
          <w:bCs/>
        </w:rPr>
        <w:t xml:space="preserve">Вимоги до осіб, що призначаються на посаду члена </w:t>
      </w:r>
      <w:r w:rsidR="00FC4E63">
        <w:rPr>
          <w:b/>
          <w:bCs/>
        </w:rPr>
        <w:t>регулятора</w:t>
      </w:r>
    </w:p>
    <w:p w14:paraId="276D3D2A" w14:textId="220916DF" w:rsidR="002F58F8" w:rsidRPr="009376AD" w:rsidRDefault="00BC64B1" w:rsidP="00907003">
      <w:pPr>
        <w:spacing w:after="100"/>
        <w:rPr>
          <w:i/>
          <w:iCs/>
        </w:rPr>
      </w:pPr>
      <w:r w:rsidRPr="009376AD">
        <w:rPr>
          <w:i/>
          <w:iCs/>
        </w:rPr>
        <w:t>В</w:t>
      </w:r>
      <w:r w:rsidR="002F58F8" w:rsidRPr="009376AD">
        <w:rPr>
          <w:i/>
          <w:iCs/>
        </w:rPr>
        <w:t>ідповідно до п. 38, стат</w:t>
      </w:r>
      <w:r w:rsidRPr="009376AD">
        <w:rPr>
          <w:i/>
          <w:iCs/>
        </w:rPr>
        <w:t>і 7</w:t>
      </w:r>
      <w:r w:rsidR="002F58F8" w:rsidRPr="009376AD">
        <w:rPr>
          <w:i/>
          <w:iCs/>
        </w:rPr>
        <w:t xml:space="preserve">  Директиви ЄС 1972/201838</w:t>
      </w:r>
      <w:r w:rsidR="00FC4E63">
        <w:rPr>
          <w:i/>
          <w:iCs/>
        </w:rPr>
        <w:t>:</w:t>
      </w:r>
      <w:r w:rsidRPr="009376AD">
        <w:rPr>
          <w:i/>
          <w:iCs/>
        </w:rPr>
        <w:t xml:space="preserve"> </w:t>
      </w:r>
    </w:p>
    <w:p w14:paraId="7DB41230" w14:textId="3E251044" w:rsidR="00BC64B1" w:rsidRPr="009376AD" w:rsidRDefault="00BC64B1" w:rsidP="00907003">
      <w:pPr>
        <w:spacing w:after="100"/>
        <w:rPr>
          <w:i/>
          <w:iCs/>
        </w:rPr>
      </w:pPr>
      <w:r w:rsidRPr="009376AD">
        <w:rPr>
          <w:i/>
          <w:iCs/>
        </w:rPr>
        <w:t>голова та члени регулюючого органу призначається з числа осіб з підтвердженим та професійним досвідом на основі заслуг, навичок, знань та досвіду;</w:t>
      </w:r>
    </w:p>
    <w:p w14:paraId="71C22FBA" w14:textId="7B48BBBF" w:rsidR="002F58F8" w:rsidRPr="009376AD" w:rsidRDefault="00BC64B1" w:rsidP="00907003">
      <w:pPr>
        <w:spacing w:after="100"/>
        <w:rPr>
          <w:i/>
          <w:iCs/>
        </w:rPr>
      </w:pPr>
      <w:r w:rsidRPr="009376AD">
        <w:rPr>
          <w:i/>
          <w:iCs/>
        </w:rPr>
        <w:t xml:space="preserve">встановлюються </w:t>
      </w:r>
      <w:r w:rsidR="002F58F8" w:rsidRPr="009376AD">
        <w:rPr>
          <w:i/>
          <w:iCs/>
        </w:rPr>
        <w:t xml:space="preserve"> мінімальн</w:t>
      </w:r>
      <w:r w:rsidRPr="009376AD">
        <w:rPr>
          <w:i/>
          <w:iCs/>
        </w:rPr>
        <w:t>і</w:t>
      </w:r>
      <w:r w:rsidR="002F58F8" w:rsidRPr="009376AD">
        <w:rPr>
          <w:i/>
          <w:iCs/>
        </w:rPr>
        <w:t xml:space="preserve"> посадов</w:t>
      </w:r>
      <w:r w:rsidRPr="009376AD">
        <w:rPr>
          <w:i/>
          <w:iCs/>
        </w:rPr>
        <w:t>і</w:t>
      </w:r>
      <w:r w:rsidR="002F58F8" w:rsidRPr="009376AD">
        <w:rPr>
          <w:i/>
          <w:iCs/>
        </w:rPr>
        <w:t xml:space="preserve"> кваліфікаці</w:t>
      </w:r>
      <w:r w:rsidRPr="009376AD">
        <w:rPr>
          <w:i/>
          <w:iCs/>
        </w:rPr>
        <w:t>ї;</w:t>
      </w:r>
      <w:r w:rsidR="002F58F8" w:rsidRPr="009376AD">
        <w:rPr>
          <w:i/>
          <w:iCs/>
        </w:rPr>
        <w:t xml:space="preserve"> </w:t>
      </w:r>
    </w:p>
    <w:p w14:paraId="32AF8D87" w14:textId="7E13C49C" w:rsidR="002F58F8" w:rsidRDefault="002F58F8" w:rsidP="00907003">
      <w:pPr>
        <w:spacing w:after="100"/>
        <w:rPr>
          <w:i/>
          <w:iCs/>
        </w:rPr>
      </w:pPr>
      <w:r w:rsidRPr="009376AD">
        <w:rPr>
          <w:i/>
          <w:iCs/>
        </w:rPr>
        <w:t>для усунення ризику регуляторної узурпації, забезпечення безперервності та посилення незалежності, може передбачатись обмеження щодо поновлення мандатів керівника або членів та встанов</w:t>
      </w:r>
      <w:r w:rsidR="0056435D">
        <w:rPr>
          <w:i/>
          <w:iCs/>
        </w:rPr>
        <w:t>люва</w:t>
      </w:r>
      <w:r w:rsidRPr="009376AD">
        <w:rPr>
          <w:i/>
          <w:iCs/>
        </w:rPr>
        <w:t>т</w:t>
      </w:r>
      <w:r w:rsidR="0056435D">
        <w:rPr>
          <w:i/>
          <w:iCs/>
        </w:rPr>
        <w:t>ись</w:t>
      </w:r>
      <w:r w:rsidRPr="009376AD">
        <w:rPr>
          <w:i/>
          <w:iCs/>
        </w:rPr>
        <w:t xml:space="preserve"> відповідн</w:t>
      </w:r>
      <w:r w:rsidR="0056435D">
        <w:rPr>
          <w:i/>
          <w:iCs/>
        </w:rPr>
        <w:t>а</w:t>
      </w:r>
      <w:r w:rsidRPr="009376AD">
        <w:rPr>
          <w:i/>
          <w:iCs/>
        </w:rPr>
        <w:t xml:space="preserve"> схем</w:t>
      </w:r>
      <w:r w:rsidR="0056435D">
        <w:rPr>
          <w:i/>
          <w:iCs/>
        </w:rPr>
        <w:t>а</w:t>
      </w:r>
      <w:r w:rsidRPr="009376AD">
        <w:rPr>
          <w:i/>
          <w:iCs/>
        </w:rPr>
        <w:t xml:space="preserve"> ротації для правління та вищого керівництва</w:t>
      </w:r>
      <w:r w:rsidR="0056435D">
        <w:rPr>
          <w:i/>
          <w:iCs/>
        </w:rPr>
        <w:t xml:space="preserve"> </w:t>
      </w:r>
      <w:r w:rsidRPr="009376AD">
        <w:rPr>
          <w:i/>
          <w:iCs/>
        </w:rPr>
        <w:t>шляхом призначення перших членів колегіального органу на різні періоди для того, щоб їхні повноваження, а також їхні наступники не втрачали повноваження одночасно.</w:t>
      </w:r>
    </w:p>
    <w:p w14:paraId="75DF847C" w14:textId="44F44CE5" w:rsidR="008206CF" w:rsidRPr="008206CF" w:rsidRDefault="008206CF" w:rsidP="00907003">
      <w:pPr>
        <w:spacing w:after="100"/>
      </w:pPr>
      <w:r>
        <w:t xml:space="preserve">Вимоги до стажу роботи та досвіду </w:t>
      </w:r>
      <w:r w:rsidR="00FB1197">
        <w:t>доцільно</w:t>
      </w:r>
      <w:r>
        <w:t xml:space="preserve"> передбачити не нижчі ніж  для держслужбовців  категорії А (ст. 20 ЗУ про державну службу).</w:t>
      </w:r>
      <w:r w:rsidR="00D036A2">
        <w:t xml:space="preserve"> При цьому </w:t>
      </w:r>
      <w:r>
        <w:t>пропонується формувати склад членів регулятора таким чином,  щоб в</w:t>
      </w:r>
      <w:r w:rsidRPr="00EA3705">
        <w:rPr>
          <w:color w:val="000000"/>
          <w:shd w:val="clear" w:color="auto" w:fill="FFFFFF"/>
        </w:rPr>
        <w:t xml:space="preserve"> кожній із сфер регулювання</w:t>
      </w:r>
      <w:r>
        <w:rPr>
          <w:color w:val="000000"/>
          <w:shd w:val="clear" w:color="auto" w:fill="FFFFFF"/>
        </w:rPr>
        <w:t xml:space="preserve"> (електронні комунікації, радіочастоти, поштовий зв'язок) </w:t>
      </w:r>
      <w:r w:rsidR="00D036A2">
        <w:rPr>
          <w:color w:val="000000"/>
          <w:shd w:val="clear" w:color="auto" w:fill="FFFFFF"/>
        </w:rPr>
        <w:t xml:space="preserve"> такий </w:t>
      </w:r>
      <w:r w:rsidR="00D036A2" w:rsidRPr="00EA3705">
        <w:rPr>
          <w:color w:val="000000"/>
          <w:shd w:val="clear" w:color="auto" w:fill="FFFFFF"/>
        </w:rPr>
        <w:t xml:space="preserve">досвід роботи </w:t>
      </w:r>
      <w:r w:rsidR="00D036A2">
        <w:rPr>
          <w:color w:val="000000"/>
          <w:shd w:val="clear" w:color="auto" w:fill="FFFFFF"/>
        </w:rPr>
        <w:t xml:space="preserve">був </w:t>
      </w:r>
      <w:r w:rsidRPr="00EA3705">
        <w:rPr>
          <w:color w:val="000000"/>
          <w:shd w:val="clear" w:color="auto" w:fill="FFFFFF"/>
        </w:rPr>
        <w:t xml:space="preserve">не менше ніж </w:t>
      </w:r>
      <w:r w:rsidR="00D036A2">
        <w:rPr>
          <w:color w:val="000000"/>
          <w:shd w:val="clear" w:color="auto" w:fill="FFFFFF"/>
        </w:rPr>
        <w:t xml:space="preserve">в </w:t>
      </w:r>
      <w:r w:rsidRPr="00EA3705">
        <w:rPr>
          <w:color w:val="000000"/>
          <w:shd w:val="clear" w:color="auto" w:fill="FFFFFF"/>
        </w:rPr>
        <w:t>од</w:t>
      </w:r>
      <w:r w:rsidR="00D036A2">
        <w:rPr>
          <w:color w:val="000000"/>
          <w:shd w:val="clear" w:color="auto" w:fill="FFFFFF"/>
        </w:rPr>
        <w:t>ного</w:t>
      </w:r>
      <w:r w:rsidRPr="00EA3705">
        <w:rPr>
          <w:color w:val="000000"/>
          <w:shd w:val="clear" w:color="auto" w:fill="FFFFFF"/>
        </w:rPr>
        <w:t xml:space="preserve"> член</w:t>
      </w:r>
      <w:r w:rsidR="00D036A2">
        <w:rPr>
          <w:color w:val="000000"/>
          <w:shd w:val="clear" w:color="auto" w:fill="FFFFFF"/>
        </w:rPr>
        <w:t>а</w:t>
      </w:r>
      <w:r w:rsidRPr="00EA3705">
        <w:rPr>
          <w:color w:val="000000"/>
          <w:shd w:val="clear" w:color="auto" w:fill="FFFFFF"/>
        </w:rPr>
        <w:t xml:space="preserve"> регулятор</w:t>
      </w:r>
      <w:r w:rsidR="00D036A2">
        <w:rPr>
          <w:color w:val="000000"/>
          <w:shd w:val="clear" w:color="auto" w:fill="FFFFFF"/>
        </w:rPr>
        <w:t>а</w:t>
      </w:r>
      <w:r w:rsidRPr="00EA3705">
        <w:rPr>
          <w:color w:val="000000"/>
          <w:shd w:val="clear" w:color="auto" w:fill="FFFFFF"/>
        </w:rPr>
        <w:t>.</w:t>
      </w:r>
    </w:p>
    <w:p w14:paraId="1EF90766" w14:textId="1C4BC221" w:rsidR="00242C62" w:rsidRDefault="00242C62" w:rsidP="00907003">
      <w:pPr>
        <w:spacing w:after="100"/>
        <w:rPr>
          <w:b/>
          <w:bCs/>
        </w:rPr>
      </w:pPr>
      <w:r w:rsidRPr="00242C62">
        <w:rPr>
          <w:b/>
          <w:bCs/>
        </w:rPr>
        <w:t xml:space="preserve">Відбір та призначення членів </w:t>
      </w:r>
      <w:r w:rsidR="00EC0B98">
        <w:rPr>
          <w:b/>
          <w:bCs/>
        </w:rPr>
        <w:t>регулятора</w:t>
      </w:r>
    </w:p>
    <w:p w14:paraId="0EA26441" w14:textId="646182B5" w:rsidR="00351B91" w:rsidRPr="00C0113B" w:rsidRDefault="004E1AA4" w:rsidP="00907003">
      <w:pPr>
        <w:spacing w:after="100"/>
        <w:rPr>
          <w:i/>
          <w:iCs/>
        </w:rPr>
      </w:pPr>
      <w:r w:rsidRPr="009376AD">
        <w:rPr>
          <w:i/>
          <w:iCs/>
        </w:rPr>
        <w:t xml:space="preserve">Відповідно до статі 7  Директиви ЄС 1972/201838 </w:t>
      </w:r>
      <w:r w:rsidR="00D81EE6" w:rsidRPr="009376AD">
        <w:rPr>
          <w:i/>
          <w:iCs/>
          <w:lang w:val="en-US"/>
        </w:rPr>
        <w:t xml:space="preserve"> </w:t>
      </w:r>
      <w:r w:rsidR="00D81EE6" w:rsidRPr="009376AD">
        <w:rPr>
          <w:i/>
          <w:iCs/>
        </w:rPr>
        <w:t>г</w:t>
      </w:r>
      <w:r w:rsidR="00351B91" w:rsidRPr="009376AD">
        <w:rPr>
          <w:i/>
          <w:iCs/>
        </w:rPr>
        <w:t xml:space="preserve">олова </w:t>
      </w:r>
      <w:r w:rsidR="00D81EE6" w:rsidRPr="009376AD">
        <w:rPr>
          <w:i/>
          <w:iCs/>
        </w:rPr>
        <w:t xml:space="preserve">та члени </w:t>
      </w:r>
      <w:r w:rsidR="00351B91" w:rsidRPr="009376AD">
        <w:rPr>
          <w:i/>
          <w:iCs/>
        </w:rPr>
        <w:t>регулюючого органу призначається на строк не менше трьох років</w:t>
      </w:r>
      <w:r w:rsidR="00D81EE6" w:rsidRPr="009376AD">
        <w:rPr>
          <w:i/>
          <w:iCs/>
        </w:rPr>
        <w:t>,</w:t>
      </w:r>
      <w:r w:rsidR="00351B91" w:rsidRPr="009376AD">
        <w:rPr>
          <w:i/>
          <w:iCs/>
        </w:rPr>
        <w:t xml:space="preserve"> після відкритої та </w:t>
      </w:r>
      <w:r w:rsidR="00351B91" w:rsidRPr="00C0113B">
        <w:rPr>
          <w:i/>
          <w:iCs/>
        </w:rPr>
        <w:t xml:space="preserve">прозорої процедури відбору. </w:t>
      </w:r>
    </w:p>
    <w:p w14:paraId="030CDB91" w14:textId="0874A49A" w:rsidR="00C90C68" w:rsidRPr="00D036A2" w:rsidRDefault="00D036A2" w:rsidP="00907003">
      <w:pPr>
        <w:pStyle w:val="rvps2"/>
        <w:shd w:val="clear" w:color="auto" w:fill="FFFFFF"/>
        <w:spacing w:before="0" w:beforeAutospacing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113B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Пропонується передбачити відкриту конкурсну процедуру по аналогії з НКРЄКП, доповнивши її деяким особливостями, зокрема, посиленням вимог до професійної компетентності членів</w:t>
      </w:r>
      <w:r w:rsidRPr="00D036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конкурсної комісії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(успішне</w:t>
      </w:r>
      <w:r w:rsidRPr="00D036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проход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ження </w:t>
      </w:r>
      <w:r w:rsidRPr="00D036A2">
        <w:rPr>
          <w:rFonts w:asciiTheme="minorHAnsi" w:eastAsiaTheme="minorHAnsi" w:hAnsiTheme="minorHAnsi" w:cstheme="minorBidi"/>
          <w:sz w:val="22"/>
          <w:szCs w:val="22"/>
          <w:lang w:eastAsia="en-US"/>
        </w:rPr>
        <w:t>тестування, передбачен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ого</w:t>
      </w:r>
      <w:r w:rsidRPr="00D036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кандидатів на зайняття посад члена регулятор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а), по аналогії з </w:t>
      </w:r>
      <w:r w:rsidR="00371DEA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775B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аконом </w:t>
      </w:r>
      <w:r w:rsidR="00371DEA">
        <w:rPr>
          <w:rFonts w:asciiTheme="minorHAnsi" w:eastAsiaTheme="minorHAnsi" w:hAnsiTheme="minorHAnsi" w:cstheme="minorBidi"/>
          <w:sz w:val="22"/>
          <w:szCs w:val="22"/>
          <w:lang w:eastAsia="en-US"/>
        </w:rPr>
        <w:t>У</w:t>
      </w:r>
      <w:r w:rsidR="00775B75">
        <w:rPr>
          <w:rFonts w:asciiTheme="minorHAnsi" w:eastAsiaTheme="minorHAnsi" w:hAnsiTheme="minorHAnsi" w:cstheme="minorBidi"/>
          <w:sz w:val="22"/>
          <w:szCs w:val="22"/>
          <w:lang w:eastAsia="en-US"/>
        </w:rPr>
        <w:t>країни «П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ро державну службу</w:t>
      </w:r>
      <w:r w:rsidR="00775B75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C90C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забезпечення незалежності регулятора, важливо сформувати конкурсну комісію таким чином, щоб жоден з органів, який делегуватиме до неї своїх членів, не отримав переважаючого впливу на прийняття нею рішень.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Також пропонуєм</w:t>
      </w:r>
      <w:r w:rsidR="00371DEA">
        <w:rPr>
          <w:rFonts w:asciiTheme="minorHAnsi" w:eastAsiaTheme="minorHAnsi" w:hAnsiTheme="minorHAnsi" w:cstheme="minorBidi"/>
          <w:sz w:val="22"/>
          <w:szCs w:val="22"/>
          <w:lang w:eastAsia="en-US"/>
        </w:rPr>
        <w:t>о закріпити тестування для кандидатів в члени регулятора, як прозорий критерій для оцінки їх професійної компетентності в питаннях  регулюва</w:t>
      </w:r>
      <w:r w:rsidR="00947D56">
        <w:rPr>
          <w:rFonts w:asciiTheme="minorHAnsi" w:eastAsiaTheme="minorHAnsi" w:hAnsiTheme="minorHAnsi" w:cstheme="minorBidi"/>
          <w:sz w:val="22"/>
          <w:szCs w:val="22"/>
          <w:lang w:eastAsia="en-US"/>
        </w:rPr>
        <w:t>н</w:t>
      </w:r>
      <w:r w:rsidR="00371D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ня електронних комунікацій, радіочастотного спектру та поштового зв’язку. </w:t>
      </w:r>
      <w:r w:rsidR="00FB1197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C90C68" w:rsidRPr="00C90C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ередбачити, що конкурсна комісія разом з оприлюдненням рейтингу кандидатів на посаду члена (членів) регулятора, оприлюднює </w:t>
      </w:r>
      <w:r w:rsidR="00C90C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його </w:t>
      </w:r>
      <w:r w:rsidR="00C90C68" w:rsidRPr="00C90C68">
        <w:rPr>
          <w:rFonts w:asciiTheme="minorHAnsi" w:eastAsiaTheme="minorHAnsi" w:hAnsiTheme="minorHAnsi" w:cstheme="minorBidi"/>
          <w:sz w:val="22"/>
          <w:szCs w:val="22"/>
          <w:lang w:eastAsia="en-US"/>
        </w:rPr>
        <w:t>обґрунтування щодо кожної кандидатури.</w:t>
      </w:r>
    </w:p>
    <w:p w14:paraId="128C803B" w14:textId="77777777" w:rsidR="00C90C68" w:rsidRDefault="00947D56" w:rsidP="00907003">
      <w:pPr>
        <w:pStyle w:val="rvps2"/>
        <w:shd w:val="clear" w:color="auto" w:fill="FFFFFF"/>
        <w:spacing w:before="0" w:beforeAutospacing="0" w:afterAutospacing="0"/>
        <w:jc w:val="both"/>
        <w:rPr>
          <w:color w:val="000000"/>
          <w:shd w:val="clear" w:color="auto" w:fill="FFFFFF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Зважаючи на широке коло повноважень, високий ступінь незалежності та тривалий термін призначення вкрай важливим є забезпечення відбору членів регулятора, </w:t>
      </w:r>
      <w:r w:rsidRPr="00947D56">
        <w:rPr>
          <w:rFonts w:asciiTheme="minorHAnsi" w:eastAsiaTheme="minorHAnsi" w:hAnsiTheme="minorHAnsi" w:cstheme="minorBidi"/>
          <w:sz w:val="22"/>
          <w:szCs w:val="22"/>
          <w:lang w:eastAsia="en-US"/>
        </w:rPr>
        <w:t>здатних забезпечувати неупереджену і професійну роботу регулятора.</w:t>
      </w:r>
      <w:r w:rsidR="00C90C68" w:rsidRPr="00C90C68">
        <w:rPr>
          <w:color w:val="000000"/>
          <w:shd w:val="clear" w:color="auto" w:fill="FFFFFF"/>
        </w:rPr>
        <w:t xml:space="preserve"> </w:t>
      </w:r>
    </w:p>
    <w:p w14:paraId="64DB41FB" w14:textId="50A5D552" w:rsidR="00947D56" w:rsidRPr="00947D56" w:rsidRDefault="00947D56" w:rsidP="00907003">
      <w:pPr>
        <w:pStyle w:val="rvps2"/>
        <w:shd w:val="clear" w:color="auto" w:fill="FFFFFF"/>
        <w:spacing w:before="0" w:beforeAutospacing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Також пропонується здійснювати трансляцію засідань конкурсної на веб-сайті КМУ </w:t>
      </w:r>
      <w:r w:rsidRPr="00947D56">
        <w:rPr>
          <w:rFonts w:asciiTheme="minorHAnsi" w:eastAsiaTheme="minorHAnsi" w:hAnsiTheme="minorHAnsi" w:cstheme="minorBidi"/>
          <w:sz w:val="22"/>
          <w:szCs w:val="22"/>
          <w:lang w:eastAsia="en-US"/>
        </w:rPr>
        <w:t>у режимі реального часу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Такий підхід передбачений, наприклад, в З</w:t>
      </w:r>
      <w:r w:rsidR="00775B75">
        <w:rPr>
          <w:rFonts w:asciiTheme="minorHAnsi" w:eastAsiaTheme="minorHAnsi" w:hAnsiTheme="minorHAnsi" w:cstheme="minorBidi"/>
          <w:sz w:val="22"/>
          <w:szCs w:val="22"/>
          <w:lang w:eastAsia="en-US"/>
        </w:rPr>
        <w:t>аконі України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 НАБУ. </w:t>
      </w:r>
      <w:r w:rsidRPr="00947D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29D8F9F" w14:textId="1CD33DC0" w:rsidR="00242C62" w:rsidRPr="00242C62" w:rsidRDefault="00242C62" w:rsidP="00907003">
      <w:pPr>
        <w:spacing w:after="100"/>
        <w:rPr>
          <w:b/>
          <w:bCs/>
        </w:rPr>
      </w:pPr>
      <w:r w:rsidRPr="00242C62">
        <w:rPr>
          <w:b/>
          <w:bCs/>
        </w:rPr>
        <w:t xml:space="preserve">Підстави та порядок дострокового припинення повноважень голови та членів </w:t>
      </w:r>
      <w:r w:rsidR="00EC0B98">
        <w:rPr>
          <w:b/>
          <w:bCs/>
        </w:rPr>
        <w:t>регулятора</w:t>
      </w:r>
    </w:p>
    <w:p w14:paraId="52C4FFDA" w14:textId="77777777" w:rsidR="00D81EE6" w:rsidRPr="009376AD" w:rsidRDefault="00D81EE6" w:rsidP="00907003">
      <w:pPr>
        <w:spacing w:after="100"/>
        <w:rPr>
          <w:i/>
          <w:iCs/>
        </w:rPr>
      </w:pPr>
      <w:r w:rsidRPr="009376AD">
        <w:rPr>
          <w:i/>
          <w:iCs/>
        </w:rPr>
        <w:t xml:space="preserve">Відповідно до статі 7  Директиви ЄС 1972/201838 голова та члени регулюючого органу </w:t>
      </w:r>
      <w:r w:rsidR="00351B91" w:rsidRPr="009376AD">
        <w:rPr>
          <w:i/>
          <w:iCs/>
        </w:rPr>
        <w:t xml:space="preserve">можуть бути звільнені під час їхнього терміну, тільки якщо вони більше не виконують необхідні умови виконання своїх обов'язків, закріплені у національному законодавстві до їх призначення. </w:t>
      </w:r>
    </w:p>
    <w:p w14:paraId="2DFCE8EA" w14:textId="0FB9BE50" w:rsidR="00351B91" w:rsidRDefault="00351B91" w:rsidP="00907003">
      <w:pPr>
        <w:spacing w:after="100"/>
        <w:rPr>
          <w:i/>
          <w:iCs/>
        </w:rPr>
      </w:pPr>
      <w:r w:rsidRPr="009376AD">
        <w:rPr>
          <w:i/>
          <w:iCs/>
        </w:rPr>
        <w:t xml:space="preserve">Рішення про звільнення, оприлюднюється під час звільнення. </w:t>
      </w:r>
      <w:r w:rsidR="00D81EE6" w:rsidRPr="009376AD">
        <w:rPr>
          <w:i/>
          <w:iCs/>
        </w:rPr>
        <w:t>Надається інформація</w:t>
      </w:r>
      <w:r w:rsidRPr="009376AD">
        <w:rPr>
          <w:i/>
          <w:iCs/>
        </w:rPr>
        <w:t xml:space="preserve"> про причини</w:t>
      </w:r>
      <w:r w:rsidR="00D81EE6" w:rsidRPr="009376AD">
        <w:rPr>
          <w:i/>
          <w:iCs/>
        </w:rPr>
        <w:t xml:space="preserve"> звільнення</w:t>
      </w:r>
      <w:r w:rsidRPr="009376AD">
        <w:rPr>
          <w:i/>
          <w:iCs/>
        </w:rPr>
        <w:t xml:space="preserve">. У випадку, якщо мотиви не оприлюднені, вони оприлюднюються на прохання </w:t>
      </w:r>
      <w:r w:rsidR="00D81EE6" w:rsidRPr="009376AD">
        <w:rPr>
          <w:i/>
          <w:iCs/>
        </w:rPr>
        <w:t>звільненої</w:t>
      </w:r>
      <w:r w:rsidRPr="009376AD">
        <w:rPr>
          <w:i/>
          <w:iCs/>
        </w:rPr>
        <w:t xml:space="preserve"> особи.</w:t>
      </w:r>
      <w:r w:rsidR="00D81EE6" w:rsidRPr="009376AD">
        <w:rPr>
          <w:i/>
          <w:iCs/>
        </w:rPr>
        <w:t xml:space="preserve"> Такі рішення </w:t>
      </w:r>
      <w:r w:rsidRPr="009376AD">
        <w:rPr>
          <w:i/>
          <w:iCs/>
        </w:rPr>
        <w:t>підляга</w:t>
      </w:r>
      <w:r w:rsidR="00D81EE6" w:rsidRPr="009376AD">
        <w:rPr>
          <w:i/>
          <w:iCs/>
        </w:rPr>
        <w:t>ють</w:t>
      </w:r>
      <w:r w:rsidRPr="009376AD">
        <w:rPr>
          <w:i/>
          <w:iCs/>
        </w:rPr>
        <w:t xml:space="preserve"> перегляду судом, з точки зору фактів та з питань права.</w:t>
      </w:r>
    </w:p>
    <w:p w14:paraId="63C6BFCA" w14:textId="0F652B83" w:rsidR="00C90C68" w:rsidRPr="00FB1197" w:rsidRDefault="00C90C68" w:rsidP="00907003">
      <w:pPr>
        <w:spacing w:after="100"/>
      </w:pPr>
      <w:r w:rsidRPr="00FB1197">
        <w:t xml:space="preserve">Зважаючи на </w:t>
      </w:r>
      <w:r w:rsidR="00FB1197">
        <w:t xml:space="preserve">українську </w:t>
      </w:r>
      <w:r w:rsidRPr="00FB1197">
        <w:t xml:space="preserve">практику політично мотивованого, часто без зазначення </w:t>
      </w:r>
      <w:r w:rsidR="00FB1197" w:rsidRPr="00FB1197">
        <w:t xml:space="preserve">підстав </w:t>
      </w:r>
      <w:r w:rsidRPr="00FB1197">
        <w:t xml:space="preserve"> </w:t>
      </w:r>
      <w:r w:rsidR="00FB1197" w:rsidRPr="00FB1197">
        <w:t xml:space="preserve">звільнення членів регулятора, закріплення і </w:t>
      </w:r>
      <w:r w:rsidR="00FB1197">
        <w:t>фактична імплементація</w:t>
      </w:r>
      <w:r w:rsidR="00FB1197" w:rsidRPr="00FB1197">
        <w:t xml:space="preserve"> </w:t>
      </w:r>
      <w:r w:rsidR="00FB1197">
        <w:t xml:space="preserve">вказаних положень Директиви, є однією з ключових умов забезпечення незалежності регулятора. </w:t>
      </w:r>
    </w:p>
    <w:p w14:paraId="019BB01D" w14:textId="76C713B0" w:rsidR="00242C62" w:rsidRDefault="00242C62" w:rsidP="00907003">
      <w:pPr>
        <w:spacing w:after="100"/>
        <w:rPr>
          <w:b/>
          <w:bCs/>
        </w:rPr>
      </w:pPr>
      <w:r w:rsidRPr="00242C62">
        <w:rPr>
          <w:b/>
          <w:bCs/>
        </w:rPr>
        <w:t xml:space="preserve">Обмеження, що застосовуються до голови, членів та працівників апарату </w:t>
      </w:r>
      <w:r w:rsidR="00EC0B98">
        <w:rPr>
          <w:b/>
          <w:bCs/>
        </w:rPr>
        <w:t>регулятора</w:t>
      </w:r>
    </w:p>
    <w:p w14:paraId="7AF3135C" w14:textId="16AC904B" w:rsidR="009252D2" w:rsidRPr="009252D2" w:rsidRDefault="009252D2" w:rsidP="00907003">
      <w:pPr>
        <w:spacing w:after="100"/>
      </w:pPr>
      <w:r w:rsidRPr="009252D2">
        <w:t xml:space="preserve">Оскільки </w:t>
      </w:r>
      <w:r w:rsidR="002E3342">
        <w:t xml:space="preserve">Закон України «Про державну службу» </w:t>
      </w:r>
      <w:r w:rsidRPr="009252D2">
        <w:t xml:space="preserve">не поширюється на </w:t>
      </w:r>
      <w:r>
        <w:t xml:space="preserve">членів державних колегіальних органів, доцільно продублювати загальні вимоги щодо заборони сумісництва, врегулювання конфлікту інтересів тощо та врахувати галузеву специфіку, пов’язану з залученням до здійснення окремих регуляторних  </w:t>
      </w:r>
      <w:r w:rsidR="00C0113B">
        <w:t xml:space="preserve">повноважень </w:t>
      </w:r>
      <w:r w:rsidR="00EC0B98" w:rsidRPr="00EC0B98">
        <w:t>працівників підприємства, що знаходиться у сфері його управління регулятора.</w:t>
      </w:r>
    </w:p>
    <w:p w14:paraId="4CC00AD9" w14:textId="30E6610D" w:rsidR="00242C62" w:rsidRPr="00242C62" w:rsidRDefault="00242C62" w:rsidP="00907003">
      <w:pPr>
        <w:spacing w:after="100"/>
        <w:rPr>
          <w:b/>
          <w:bCs/>
        </w:rPr>
      </w:pPr>
      <w:r w:rsidRPr="00242C62">
        <w:rPr>
          <w:b/>
          <w:bCs/>
        </w:rPr>
        <w:t xml:space="preserve">Права та обов’язки голови та членів </w:t>
      </w:r>
      <w:r w:rsidR="00EC0B98">
        <w:rPr>
          <w:b/>
          <w:bCs/>
        </w:rPr>
        <w:t xml:space="preserve">регулятора </w:t>
      </w:r>
    </w:p>
    <w:p w14:paraId="7C29E0E5" w14:textId="3AA68B22" w:rsidR="00EC0B98" w:rsidRDefault="003E39E9" w:rsidP="00907003">
      <w:pPr>
        <w:spacing w:after="100"/>
      </w:pPr>
      <w:r w:rsidRPr="003E39E9">
        <w:t xml:space="preserve">Враховуючи, що колегіальність є одним з факторів незалежності  регулятора, </w:t>
      </w:r>
      <w:r>
        <w:t>важливо максимально забезпечити колегіальне прийняття рішень не лише щодо регулювання ринку, а  й з ключових питань організації роботи регулятора.</w:t>
      </w:r>
    </w:p>
    <w:p w14:paraId="06FF63DB" w14:textId="77777777" w:rsidR="003E39E9" w:rsidRDefault="003E39E9" w:rsidP="00907003">
      <w:pPr>
        <w:spacing w:after="100"/>
      </w:pPr>
      <w:r>
        <w:t>З цієї метою, також доцільно голову регулятора та його заступника призначати та  звільняти рішенням членів регулятора.</w:t>
      </w:r>
    </w:p>
    <w:p w14:paraId="22347AC9" w14:textId="73AB6F98" w:rsidR="003E39E9" w:rsidRPr="003E39E9" w:rsidRDefault="000E73FE" w:rsidP="00907003">
      <w:pPr>
        <w:spacing w:after="100"/>
      </w:pPr>
      <w:r>
        <w:t>В</w:t>
      </w:r>
      <w:r w:rsidR="003E39E9">
        <w:t xml:space="preserve"> питаннях </w:t>
      </w:r>
      <w:r>
        <w:t xml:space="preserve">прийняття рішень щодо </w:t>
      </w:r>
      <w:r w:rsidR="003E39E9">
        <w:t>регул</w:t>
      </w:r>
      <w:r>
        <w:t>ювання ринку обсяг прав і обов’язків  голови та членів регулятора не повинен відрізнятись.</w:t>
      </w:r>
    </w:p>
    <w:p w14:paraId="3552940C" w14:textId="1112C183" w:rsidR="00242C62" w:rsidRDefault="00242C62" w:rsidP="00907003">
      <w:pPr>
        <w:spacing w:after="100"/>
        <w:rPr>
          <w:b/>
          <w:bCs/>
        </w:rPr>
      </w:pPr>
      <w:r w:rsidRPr="00242C62">
        <w:rPr>
          <w:b/>
          <w:bCs/>
        </w:rPr>
        <w:t xml:space="preserve">Відкритість діяльності </w:t>
      </w:r>
      <w:r w:rsidR="002E3342">
        <w:rPr>
          <w:b/>
          <w:bCs/>
        </w:rPr>
        <w:t>регулятора</w:t>
      </w:r>
    </w:p>
    <w:p w14:paraId="113801C7" w14:textId="75285480" w:rsidR="00D81EE6" w:rsidRPr="00D81EE6" w:rsidRDefault="000E73FE" w:rsidP="00907003">
      <w:pPr>
        <w:spacing w:after="100"/>
      </w:pPr>
      <w:r>
        <w:t>Взяти за основу підхід, напрацьований в законопроекті про електронні комунікації (</w:t>
      </w:r>
      <w:r w:rsidR="004A3004">
        <w:t>3014</w:t>
      </w:r>
      <w:r>
        <w:t>)</w:t>
      </w:r>
      <w:r w:rsidR="002E3342">
        <w:t>.</w:t>
      </w:r>
      <w:r>
        <w:t xml:space="preserve"> </w:t>
      </w:r>
    </w:p>
    <w:p w14:paraId="4FCDC69D" w14:textId="02CADA88" w:rsidR="009C4A9B" w:rsidRPr="00E60403" w:rsidRDefault="009C4A9B" w:rsidP="00907003">
      <w:pPr>
        <w:spacing w:after="100"/>
        <w:rPr>
          <w:b/>
          <w:bCs/>
        </w:rPr>
      </w:pPr>
      <w:r w:rsidRPr="00E60403">
        <w:rPr>
          <w:b/>
          <w:bCs/>
        </w:rPr>
        <w:t xml:space="preserve">Погодження </w:t>
      </w:r>
      <w:r w:rsidR="00E60403" w:rsidRPr="00E60403">
        <w:rPr>
          <w:b/>
          <w:bCs/>
        </w:rPr>
        <w:t xml:space="preserve">та реєстрація </w:t>
      </w:r>
      <w:r w:rsidRPr="00E60403">
        <w:rPr>
          <w:b/>
          <w:bCs/>
        </w:rPr>
        <w:t xml:space="preserve">рішень </w:t>
      </w:r>
      <w:r w:rsidR="002E3342">
        <w:rPr>
          <w:b/>
          <w:bCs/>
        </w:rPr>
        <w:t>регулятора</w:t>
      </w:r>
      <w:r w:rsidRPr="00E60403">
        <w:rPr>
          <w:b/>
          <w:bCs/>
        </w:rPr>
        <w:t xml:space="preserve"> </w:t>
      </w:r>
    </w:p>
    <w:p w14:paraId="6EC6623A" w14:textId="51BF2421" w:rsidR="009C4A9B" w:rsidRDefault="009C4A9B" w:rsidP="00907003">
      <w:pPr>
        <w:spacing w:after="100"/>
        <w:rPr>
          <w:i/>
          <w:iCs/>
        </w:rPr>
      </w:pPr>
      <w:r w:rsidRPr="009376AD">
        <w:rPr>
          <w:i/>
          <w:iCs/>
        </w:rPr>
        <w:t>Директива ЄС 1972/2018 (ч.3 ст.5) передбачає консультації між регуляторними органами та</w:t>
      </w:r>
      <w:r>
        <w:rPr>
          <w:i/>
          <w:iCs/>
        </w:rPr>
        <w:t xml:space="preserve"> іншими </w:t>
      </w:r>
      <w:r w:rsidRPr="009376AD">
        <w:rPr>
          <w:i/>
          <w:iCs/>
        </w:rPr>
        <w:t xml:space="preserve">національними органами, </w:t>
      </w:r>
      <w:r>
        <w:rPr>
          <w:i/>
          <w:iCs/>
        </w:rPr>
        <w:t xml:space="preserve">зокрема, </w:t>
      </w:r>
      <w:r w:rsidRPr="009376AD">
        <w:rPr>
          <w:i/>
          <w:iCs/>
        </w:rPr>
        <w:t>яким доручено впровадження конкурентного права або захисту прав споживачів</w:t>
      </w:r>
      <w:r>
        <w:rPr>
          <w:i/>
          <w:iCs/>
        </w:rPr>
        <w:t>.</w:t>
      </w:r>
    </w:p>
    <w:p w14:paraId="2CD9EBE4" w14:textId="443B2E9C" w:rsidR="00FC4E63" w:rsidRDefault="00FC4E63" w:rsidP="00907003">
      <w:pPr>
        <w:spacing w:after="100"/>
      </w:pPr>
      <w:r w:rsidRPr="00FC4E63">
        <w:t>Тобто</w:t>
      </w:r>
      <w:r w:rsidR="00E60403">
        <w:t>,</w:t>
      </w:r>
      <w:r w:rsidRPr="00FC4E63">
        <w:t xml:space="preserve"> відсутність погодження не повинна бути перешкодою </w:t>
      </w:r>
      <w:r>
        <w:t>для прийняття рішень регулятором</w:t>
      </w:r>
      <w:r w:rsidR="00E60403">
        <w:t>, інакше органи державної, які не несуть відповідальності за регулювання галузі зв’язку, впливають на прийняття регулятором рішень, обмежуючи його незалежність.</w:t>
      </w:r>
    </w:p>
    <w:p w14:paraId="296DE487" w14:textId="07FEB6CA" w:rsidR="00FC4E63" w:rsidRPr="00FC4E63" w:rsidRDefault="00FC4E63" w:rsidP="00907003">
      <w:pPr>
        <w:spacing w:after="100"/>
        <w:rPr>
          <w:b/>
          <w:bCs/>
          <w:color w:val="FF0000"/>
        </w:rPr>
      </w:pPr>
      <w:r>
        <w:t xml:space="preserve">Враховуючи вимоги </w:t>
      </w:r>
      <w:r w:rsidR="00E60403">
        <w:t>ст. 19 Конституції України щодо діяльності органів влади в межах повноважень та у спосіб, визначені Конституцією та законом, пропонуємо залишити можливість відмови в державній реєстрації нормативно-правових актів регулятора. Передбачити, що відмова можлива виключно  у разі їх невідповідності Конституції та закону.</w:t>
      </w:r>
    </w:p>
    <w:p w14:paraId="266B177C" w14:textId="3053DFCB" w:rsidR="009C4A9B" w:rsidRDefault="009C4A9B" w:rsidP="00907003">
      <w:pPr>
        <w:spacing w:after="100"/>
        <w:rPr>
          <w:b/>
          <w:bCs/>
        </w:rPr>
      </w:pPr>
      <w:r>
        <w:rPr>
          <w:b/>
          <w:bCs/>
        </w:rPr>
        <w:t xml:space="preserve">Оскарження рішень, в т.ч нормативно-правових актів </w:t>
      </w:r>
      <w:r w:rsidR="00C0113B">
        <w:rPr>
          <w:b/>
          <w:bCs/>
        </w:rPr>
        <w:t>регулятора</w:t>
      </w:r>
    </w:p>
    <w:p w14:paraId="1B79522A" w14:textId="23ADF96A" w:rsidR="00147A0C" w:rsidRPr="009376AD" w:rsidRDefault="00147A0C" w:rsidP="00907003">
      <w:pPr>
        <w:spacing w:after="100"/>
        <w:rPr>
          <w:i/>
          <w:iCs/>
        </w:rPr>
      </w:pPr>
      <w:r w:rsidRPr="009376AD">
        <w:rPr>
          <w:i/>
          <w:iCs/>
        </w:rPr>
        <w:t xml:space="preserve">Директива ЄС 1972/2018 </w:t>
      </w:r>
      <w:r>
        <w:rPr>
          <w:i/>
          <w:iCs/>
        </w:rPr>
        <w:t xml:space="preserve"> (ч. 1 ст.8) передбачає, що </w:t>
      </w:r>
      <w:r w:rsidRPr="009376AD">
        <w:rPr>
          <w:i/>
          <w:iCs/>
        </w:rPr>
        <w:t>лише апеляційні органи, створені відповідно до Статті 31, мають право призупиняти або скасовувати рішення національних регуляторних органів</w:t>
      </w:r>
      <w:r>
        <w:rPr>
          <w:i/>
          <w:iCs/>
        </w:rPr>
        <w:t>.</w:t>
      </w:r>
      <w:r w:rsidRPr="009376AD">
        <w:rPr>
          <w:i/>
          <w:iCs/>
        </w:rPr>
        <w:t xml:space="preserve"> </w:t>
      </w:r>
    </w:p>
    <w:p w14:paraId="2D6875BB" w14:textId="08667BC6" w:rsidR="00147A0C" w:rsidRPr="00147A0C" w:rsidRDefault="00147A0C" w:rsidP="00907003">
      <w:pPr>
        <w:spacing w:after="100"/>
      </w:pPr>
      <w:r w:rsidRPr="00147A0C">
        <w:t xml:space="preserve">Вважаємо, що таким апеляційним органом має бути лише суд. У зв’язку з </w:t>
      </w:r>
      <w:r>
        <w:t xml:space="preserve">цим, </w:t>
      </w:r>
      <w:r w:rsidR="006E4868">
        <w:t>потрібно</w:t>
      </w:r>
      <w:r>
        <w:t xml:space="preserve"> внести зміни до інших законів щодо неможливості </w:t>
      </w:r>
      <w:r w:rsidR="00C0113B">
        <w:t xml:space="preserve">скасування чи </w:t>
      </w:r>
      <w:r>
        <w:t>зупинення рішень регулятора іншими органами, зокрема, КМУ та ДРС.</w:t>
      </w:r>
    </w:p>
    <w:p w14:paraId="6CE82647" w14:textId="6AA31C54" w:rsidR="00242C62" w:rsidRDefault="00242C62" w:rsidP="00907003">
      <w:pPr>
        <w:spacing w:after="100"/>
        <w:rPr>
          <w:b/>
          <w:bCs/>
        </w:rPr>
      </w:pPr>
      <w:r w:rsidRPr="00242C62">
        <w:rPr>
          <w:b/>
          <w:bCs/>
        </w:rPr>
        <w:t>Взаємодія з іншими державними органами</w:t>
      </w:r>
    </w:p>
    <w:p w14:paraId="472D58C5" w14:textId="380B18AC" w:rsidR="00242C62" w:rsidRPr="009376AD" w:rsidRDefault="00242C62" w:rsidP="00907003">
      <w:pPr>
        <w:spacing w:after="100"/>
        <w:rPr>
          <w:i/>
          <w:iCs/>
        </w:rPr>
      </w:pPr>
      <w:r w:rsidRPr="009376AD">
        <w:rPr>
          <w:i/>
          <w:iCs/>
        </w:rPr>
        <w:t xml:space="preserve">Директива ЄС 1972/2018 (ч.3 ст.5) передбачає консультації та співробітництво між регуляторними органами та національними органами, яким доручено впровадження конкурентного права або захисту прав споживачів, з питань, що становлять спільний інтерес. </w:t>
      </w:r>
    </w:p>
    <w:p w14:paraId="20B26A8C" w14:textId="0DCDAB7B" w:rsidR="001E1F91" w:rsidRPr="009376AD" w:rsidRDefault="009376AD" w:rsidP="00907003">
      <w:pPr>
        <w:spacing w:after="100"/>
        <w:rPr>
          <w:i/>
          <w:iCs/>
        </w:rPr>
      </w:pPr>
      <w:r w:rsidRPr="009376AD">
        <w:rPr>
          <w:i/>
          <w:iCs/>
        </w:rPr>
        <w:t xml:space="preserve">Відповідно до ст. 11 Директиви </w:t>
      </w:r>
      <w:r w:rsidR="001E1F91" w:rsidRPr="009376AD">
        <w:rPr>
          <w:i/>
          <w:iCs/>
        </w:rPr>
        <w:t xml:space="preserve">Національні регуляторні органи, інші компетентні органи відповідно до цієї Директиви та національні органи з питань конкуренції надають один одному інформацію, необхідну для застосування цієї Директиви. </w:t>
      </w:r>
      <w:r w:rsidRPr="009376AD">
        <w:rPr>
          <w:i/>
          <w:iCs/>
        </w:rPr>
        <w:t xml:space="preserve">При цьому </w:t>
      </w:r>
      <w:r w:rsidR="001E1F91" w:rsidRPr="009376AD">
        <w:rPr>
          <w:i/>
          <w:iCs/>
        </w:rPr>
        <w:t xml:space="preserve"> застосовуються правила захисту даних і приймаючий орган повинен забезпечувати такий самий рівень конфіденційності, що й у органу-джерела.</w:t>
      </w:r>
    </w:p>
    <w:p w14:paraId="46FF3008" w14:textId="207E7FAB" w:rsidR="00242C62" w:rsidRDefault="00147A0C" w:rsidP="00907003">
      <w:pPr>
        <w:spacing w:after="100"/>
      </w:pPr>
      <w:r>
        <w:t>К</w:t>
      </w:r>
      <w:r w:rsidR="0039122B">
        <w:t>оло питань та механізми взаємодії з АМКУ, органом захисту прав споживачів, Нацрадою з телебачення та радіомовлення, Генштабом ЗСУ, Мінцифри, ДРС, Мінюстом</w:t>
      </w:r>
      <w:r>
        <w:t xml:space="preserve"> повинні бути визначені законом</w:t>
      </w:r>
      <w:r w:rsidR="0039122B">
        <w:t>.</w:t>
      </w:r>
    </w:p>
    <w:p w14:paraId="0F1DB14E" w14:textId="4A16F0F8" w:rsidR="0039122B" w:rsidRPr="00242C62" w:rsidRDefault="0039122B" w:rsidP="00907003">
      <w:pPr>
        <w:spacing w:after="100"/>
      </w:pPr>
      <w:r>
        <w:t xml:space="preserve">Передбачити загальні принципи взаємодії </w:t>
      </w:r>
      <w:r w:rsidR="006E4868">
        <w:t xml:space="preserve">та обміну інформацією </w:t>
      </w:r>
      <w:r>
        <w:t>з іншими органами державної влади.</w:t>
      </w:r>
    </w:p>
    <w:p w14:paraId="21116A94" w14:textId="5EA71FA3" w:rsidR="00242C62" w:rsidRDefault="00242C62" w:rsidP="00907003">
      <w:pPr>
        <w:spacing w:after="100"/>
        <w:rPr>
          <w:b/>
          <w:bCs/>
        </w:rPr>
      </w:pPr>
      <w:r w:rsidRPr="00242C62">
        <w:rPr>
          <w:b/>
          <w:bCs/>
        </w:rPr>
        <w:t xml:space="preserve">Фінансування діяльності </w:t>
      </w:r>
      <w:r w:rsidR="006E4868">
        <w:rPr>
          <w:b/>
          <w:bCs/>
        </w:rPr>
        <w:t>регулятор</w:t>
      </w:r>
      <w:r w:rsidR="00C0113B">
        <w:rPr>
          <w:b/>
          <w:bCs/>
        </w:rPr>
        <w:t>а</w:t>
      </w:r>
    </w:p>
    <w:p w14:paraId="6A8E0D23" w14:textId="77777777" w:rsidR="009376AD" w:rsidRPr="009376AD" w:rsidRDefault="009376AD" w:rsidP="00907003">
      <w:pPr>
        <w:spacing w:after="100"/>
        <w:jc w:val="both"/>
      </w:pPr>
      <w:r w:rsidRPr="009376AD">
        <w:rPr>
          <w:i/>
          <w:iCs/>
        </w:rPr>
        <w:t>Директива ЄС 1972/2018 (ст.</w:t>
      </w:r>
      <w:r>
        <w:rPr>
          <w:i/>
          <w:iCs/>
        </w:rPr>
        <w:t>9</w:t>
      </w:r>
      <w:r w:rsidRPr="009376AD">
        <w:rPr>
          <w:i/>
          <w:iCs/>
        </w:rPr>
        <w:t>) передбачає</w:t>
      </w:r>
      <w:r>
        <w:rPr>
          <w:i/>
          <w:iCs/>
        </w:rPr>
        <w:t xml:space="preserve">, що </w:t>
      </w:r>
      <w:r w:rsidR="001E1F91" w:rsidRPr="009376AD">
        <w:rPr>
          <w:i/>
          <w:iCs/>
        </w:rPr>
        <w:t xml:space="preserve">регуляторні органи </w:t>
      </w:r>
      <w:r w:rsidRPr="009376AD">
        <w:rPr>
          <w:i/>
          <w:iCs/>
        </w:rPr>
        <w:t xml:space="preserve">повинні </w:t>
      </w:r>
      <w:r w:rsidR="001E1F91" w:rsidRPr="009376AD">
        <w:rPr>
          <w:i/>
          <w:iCs/>
        </w:rPr>
        <w:t>ма</w:t>
      </w:r>
      <w:r w:rsidRPr="009376AD">
        <w:rPr>
          <w:i/>
          <w:iCs/>
        </w:rPr>
        <w:t>ти</w:t>
      </w:r>
      <w:r w:rsidR="001E1F91" w:rsidRPr="009376AD">
        <w:rPr>
          <w:i/>
          <w:iCs/>
        </w:rPr>
        <w:t xml:space="preserve"> окремі річні бюджети та автономію у виконанні виділеного бюджету. Ці бюджети мають бути </w:t>
      </w:r>
      <w:r w:rsidR="001E1F91" w:rsidRPr="009376AD">
        <w:t xml:space="preserve">оприлюдненими. </w:t>
      </w:r>
    </w:p>
    <w:p w14:paraId="3EE0A80F" w14:textId="77777777" w:rsidR="009376AD" w:rsidRPr="009376AD" w:rsidRDefault="009376AD" w:rsidP="00907003">
      <w:pPr>
        <w:spacing w:after="100"/>
        <w:rPr>
          <w:i/>
          <w:iCs/>
        </w:rPr>
      </w:pPr>
      <w:r w:rsidRPr="009376AD">
        <w:rPr>
          <w:i/>
          <w:iCs/>
        </w:rPr>
        <w:t>Ф</w:t>
      </w:r>
      <w:r w:rsidR="001E1F91" w:rsidRPr="009376AD">
        <w:rPr>
          <w:i/>
          <w:iCs/>
        </w:rPr>
        <w:t xml:space="preserve">інансова автономія не має перешкоджати нагляду або контролю відповідно до національного конституційного права. </w:t>
      </w:r>
    </w:p>
    <w:p w14:paraId="6294FF55" w14:textId="7E7DB6E9" w:rsidR="009376AD" w:rsidRPr="009376AD" w:rsidRDefault="009376AD" w:rsidP="00907003">
      <w:pPr>
        <w:spacing w:after="100"/>
        <w:rPr>
          <w:i/>
          <w:iCs/>
        </w:rPr>
      </w:pPr>
      <w:r w:rsidRPr="009376AD">
        <w:rPr>
          <w:i/>
          <w:iCs/>
        </w:rPr>
        <w:t>К</w:t>
      </w:r>
      <w:r w:rsidR="001E1F91" w:rsidRPr="009376AD">
        <w:rPr>
          <w:i/>
          <w:iCs/>
        </w:rPr>
        <w:t>онтроль над бюджетом регуляторних органів здійснюється прозоро і публічно</w:t>
      </w:r>
      <w:r>
        <w:rPr>
          <w:i/>
          <w:iCs/>
        </w:rPr>
        <w:t>.</w:t>
      </w:r>
    </w:p>
    <w:p w14:paraId="15544172" w14:textId="0A057447" w:rsidR="0039122B" w:rsidRDefault="00C0113B" w:rsidP="00907003">
      <w:pPr>
        <w:spacing w:after="100"/>
      </w:pPr>
      <w:r>
        <w:t>Фінансування з с</w:t>
      </w:r>
      <w:r w:rsidR="0039122B" w:rsidRPr="0039122B">
        <w:t>пеціальн</w:t>
      </w:r>
      <w:r>
        <w:t>ого</w:t>
      </w:r>
      <w:r w:rsidR="0039122B" w:rsidRPr="0039122B">
        <w:t xml:space="preserve"> фонд</w:t>
      </w:r>
      <w:r>
        <w:t>у</w:t>
      </w:r>
      <w:r w:rsidR="0039122B" w:rsidRPr="0039122B">
        <w:t xml:space="preserve"> в рамках державного бюджету</w:t>
      </w:r>
      <w:r w:rsidR="0039122B">
        <w:t xml:space="preserve">, який наповнюється за рахунок </w:t>
      </w:r>
      <w:r>
        <w:t xml:space="preserve">надходжень від </w:t>
      </w:r>
      <w:r w:rsidR="0039122B">
        <w:t>плати за дозвол</w:t>
      </w:r>
      <w:r>
        <w:t>и</w:t>
      </w:r>
      <w:r w:rsidR="0039122B">
        <w:t xml:space="preserve"> на номерний ресурс, </w:t>
      </w:r>
      <w:r>
        <w:t xml:space="preserve">частини надходжень від плати за </w:t>
      </w:r>
      <w:r w:rsidR="0039122B">
        <w:t>ліцензі</w:t>
      </w:r>
      <w:r>
        <w:t>ї</w:t>
      </w:r>
      <w:r w:rsidR="0039122B">
        <w:t xml:space="preserve"> на РЧР, частини рентної плати за РЧР</w:t>
      </w:r>
      <w:r>
        <w:t xml:space="preserve">. </w:t>
      </w:r>
      <w:r w:rsidR="0039122B">
        <w:t xml:space="preserve"> </w:t>
      </w:r>
      <w:r>
        <w:t>У</w:t>
      </w:r>
      <w:r w:rsidR="0039122B">
        <w:t xml:space="preserve"> разі необхідності</w:t>
      </w:r>
      <w:r>
        <w:t xml:space="preserve"> регулятор  дофінансовується </w:t>
      </w:r>
      <w:r w:rsidR="0039122B">
        <w:t>за рахунок загального фонду державного бюджету.</w:t>
      </w:r>
    </w:p>
    <w:p w14:paraId="12371E10" w14:textId="5C0BDC32" w:rsidR="006E4868" w:rsidRDefault="00C0113B" w:rsidP="00907003">
      <w:pPr>
        <w:spacing w:after="100"/>
      </w:pPr>
      <w:r>
        <w:t>Для цього н</w:t>
      </w:r>
      <w:r w:rsidR="006E4868">
        <w:t>еобхідні зміни в Бюджетній кодекс (окремим законопроектом)</w:t>
      </w:r>
      <w:r>
        <w:t>.</w:t>
      </w:r>
    </w:p>
    <w:p w14:paraId="1F9DB181" w14:textId="77777777" w:rsidR="00E07794" w:rsidRDefault="0039122B" w:rsidP="00907003">
      <w:pPr>
        <w:spacing w:after="100"/>
      </w:pPr>
      <w:r>
        <w:t xml:space="preserve">Закласти принципи формування бюджету, які б дозволили регулятору обґрунтовувати бюджетні запити в </w:t>
      </w:r>
      <w:r w:rsidR="00E07794">
        <w:t>необхідних обсягах.</w:t>
      </w:r>
    </w:p>
    <w:p w14:paraId="1C27DBCC" w14:textId="0318B734" w:rsidR="0039122B" w:rsidRPr="0039122B" w:rsidRDefault="00E07794" w:rsidP="00907003">
      <w:pPr>
        <w:spacing w:after="100"/>
      </w:pPr>
      <w:r>
        <w:t>Передбачити звітність регулятора про використанню бюджету</w:t>
      </w:r>
      <w:r w:rsidR="00E07E08">
        <w:t xml:space="preserve"> та</w:t>
      </w:r>
      <w:r w:rsidR="001B24D7">
        <w:t xml:space="preserve"> про свої адміністративні витрати</w:t>
      </w:r>
      <w:r>
        <w:t>.</w:t>
      </w:r>
      <w:r w:rsidR="0039122B">
        <w:t xml:space="preserve"> </w:t>
      </w:r>
    </w:p>
    <w:p w14:paraId="3432821D" w14:textId="31678C79" w:rsidR="00242C62" w:rsidRDefault="00242C62" w:rsidP="00907003">
      <w:pPr>
        <w:spacing w:after="100"/>
        <w:rPr>
          <w:b/>
          <w:bCs/>
        </w:rPr>
      </w:pPr>
      <w:r w:rsidRPr="00242C62">
        <w:rPr>
          <w:b/>
          <w:bCs/>
        </w:rPr>
        <w:t xml:space="preserve">Оплата праці членів </w:t>
      </w:r>
      <w:r w:rsidR="006E4868">
        <w:rPr>
          <w:b/>
          <w:bCs/>
        </w:rPr>
        <w:t>регулятора</w:t>
      </w:r>
    </w:p>
    <w:p w14:paraId="071A0809" w14:textId="70A92A8E" w:rsidR="00E07794" w:rsidRPr="002E2695" w:rsidRDefault="002E2695" w:rsidP="00907003">
      <w:pPr>
        <w:spacing w:after="100"/>
      </w:pPr>
      <w:r w:rsidRPr="002E2695">
        <w:t>Передбачити критерії визначення розміру оплати</w:t>
      </w:r>
      <w:r>
        <w:t xml:space="preserve"> (можливо з урахуванням середнього рівня оплати відповідних фахівців на ринку)</w:t>
      </w:r>
      <w:r w:rsidRPr="002E2695">
        <w:t xml:space="preserve">, які б дозволяли </w:t>
      </w:r>
      <w:r>
        <w:t>залучати кваліфікований персонал.</w:t>
      </w:r>
    </w:p>
    <w:p w14:paraId="10B65DEB" w14:textId="78A7BFEA" w:rsidR="00242C62" w:rsidRDefault="00242C62" w:rsidP="00907003">
      <w:pPr>
        <w:spacing w:after="100"/>
        <w:rPr>
          <w:b/>
          <w:bCs/>
        </w:rPr>
      </w:pPr>
      <w:r w:rsidRPr="00242C62">
        <w:rPr>
          <w:b/>
          <w:bCs/>
        </w:rPr>
        <w:t xml:space="preserve">Апарат </w:t>
      </w:r>
      <w:r w:rsidR="00457AD3">
        <w:rPr>
          <w:b/>
          <w:bCs/>
        </w:rPr>
        <w:t>регулятора</w:t>
      </w:r>
    </w:p>
    <w:p w14:paraId="6BB958F7" w14:textId="320C3312" w:rsidR="009376AD" w:rsidRDefault="009376AD" w:rsidP="00907003">
      <w:pPr>
        <w:spacing w:after="100"/>
        <w:rPr>
          <w:i/>
          <w:iCs/>
        </w:rPr>
      </w:pPr>
      <w:r w:rsidRPr="009376AD">
        <w:rPr>
          <w:i/>
          <w:iCs/>
        </w:rPr>
        <w:t>Директив</w:t>
      </w:r>
      <w:r>
        <w:rPr>
          <w:i/>
          <w:iCs/>
        </w:rPr>
        <w:t>а</w:t>
      </w:r>
      <w:r w:rsidRPr="009376AD">
        <w:rPr>
          <w:i/>
          <w:iCs/>
        </w:rPr>
        <w:t xml:space="preserve"> ЄС 1972/2018</w:t>
      </w:r>
      <w:r w:rsidR="00CA53B4">
        <w:rPr>
          <w:i/>
          <w:iCs/>
        </w:rPr>
        <w:t xml:space="preserve"> (п. 37)</w:t>
      </w:r>
      <w:r w:rsidRPr="009376AD">
        <w:rPr>
          <w:i/>
          <w:iCs/>
        </w:rPr>
        <w:t>:</w:t>
      </w:r>
    </w:p>
    <w:p w14:paraId="19100E6F" w14:textId="18068A73" w:rsidR="00CA53B4" w:rsidRPr="009376AD" w:rsidRDefault="00CA53B4" w:rsidP="00907003">
      <w:pPr>
        <w:spacing w:after="100"/>
        <w:rPr>
          <w:i/>
          <w:iCs/>
        </w:rPr>
      </w:pPr>
      <w:r w:rsidRPr="00CA53B4">
        <w:rPr>
          <w:i/>
          <w:iCs/>
        </w:rPr>
        <w:t>Важливо, щоб національні регуляторні органи мали власний бюджет, що дозволяє їм, зокрема, набирати достатню кількість кваліфікованого персоналу</w:t>
      </w:r>
      <w:r w:rsidRPr="00CA53B4">
        <w:t>.</w:t>
      </w:r>
    </w:p>
    <w:p w14:paraId="75F8FAC5" w14:textId="6D62C52D" w:rsidR="009376AD" w:rsidRDefault="00A00698" w:rsidP="00907003">
      <w:pPr>
        <w:spacing w:after="10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Враховуючи вплив на ринок </w:t>
      </w:r>
      <w:r w:rsidRPr="00D13334">
        <w:rPr>
          <w:rFonts w:ascii="Calibri" w:hAnsi="Calibri" w:cs="Calibri"/>
        </w:rPr>
        <w:t xml:space="preserve">рішень </w:t>
      </w:r>
      <w:r>
        <w:rPr>
          <w:rFonts w:ascii="Calibri" w:hAnsi="Calibri" w:cs="Calibri"/>
        </w:rPr>
        <w:t>регулятора, передбачених законом про електронні комунікацій</w:t>
      </w:r>
      <w:r w:rsidRPr="00D13334">
        <w:rPr>
          <w:rFonts w:ascii="Calibri" w:hAnsi="Calibri" w:cs="Calibri"/>
        </w:rPr>
        <w:t>, важлив</w:t>
      </w:r>
      <w:r>
        <w:rPr>
          <w:rFonts w:ascii="Calibri" w:hAnsi="Calibri" w:cs="Calibri"/>
        </w:rPr>
        <w:t>ою</w:t>
      </w:r>
      <w:r w:rsidRPr="00D13334">
        <w:rPr>
          <w:rFonts w:ascii="Calibri" w:hAnsi="Calibri" w:cs="Calibri"/>
        </w:rPr>
        <w:t xml:space="preserve"> є якість </w:t>
      </w:r>
      <w:r w:rsidR="00E07E08">
        <w:rPr>
          <w:rFonts w:ascii="Calibri" w:hAnsi="Calibri" w:cs="Calibri"/>
        </w:rPr>
        <w:t xml:space="preserve">його </w:t>
      </w:r>
      <w:r w:rsidRPr="00D13334">
        <w:rPr>
          <w:rFonts w:ascii="Calibri" w:hAnsi="Calibri" w:cs="Calibri"/>
        </w:rPr>
        <w:t>рішень і персоналу, який готує ці рішення</w:t>
      </w:r>
      <w:r>
        <w:rPr>
          <w:rFonts w:ascii="Calibri" w:hAnsi="Calibri" w:cs="Calibri"/>
        </w:rPr>
        <w:t>.</w:t>
      </w:r>
    </w:p>
    <w:p w14:paraId="45FFFA8E" w14:textId="48116743" w:rsidR="00A00698" w:rsidRPr="00E23AB6" w:rsidRDefault="00A00698" w:rsidP="00907003">
      <w:pPr>
        <w:spacing w:after="10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Те, що працівники апарату </w:t>
      </w:r>
      <w:r w:rsidRPr="00D13334">
        <w:rPr>
          <w:rFonts w:ascii="Calibri" w:hAnsi="Calibri" w:cs="Calibri"/>
        </w:rPr>
        <w:t xml:space="preserve"> комісії є </w:t>
      </w:r>
      <w:r w:rsidR="006E4868">
        <w:rPr>
          <w:rFonts w:ascii="Calibri" w:hAnsi="Calibri" w:cs="Calibri"/>
        </w:rPr>
        <w:t xml:space="preserve">обмежені загальними умовами оплати праці </w:t>
      </w:r>
      <w:r w:rsidRPr="00D13334">
        <w:rPr>
          <w:rFonts w:ascii="Calibri" w:hAnsi="Calibri" w:cs="Calibri"/>
        </w:rPr>
        <w:t>державни</w:t>
      </w:r>
      <w:r w:rsidR="006E4868">
        <w:rPr>
          <w:rFonts w:ascii="Calibri" w:hAnsi="Calibri" w:cs="Calibri"/>
        </w:rPr>
        <w:t>х</w:t>
      </w:r>
      <w:r w:rsidRPr="00D13334">
        <w:rPr>
          <w:rFonts w:ascii="Calibri" w:hAnsi="Calibri" w:cs="Calibri"/>
        </w:rPr>
        <w:t xml:space="preserve"> службовц</w:t>
      </w:r>
      <w:r w:rsidR="006E4868">
        <w:rPr>
          <w:rFonts w:ascii="Calibri" w:hAnsi="Calibri" w:cs="Calibri"/>
        </w:rPr>
        <w:t>ів</w:t>
      </w:r>
      <w:r w:rsidR="00E07E0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негативно впливає </w:t>
      </w:r>
      <w:r w:rsidRPr="00D13334">
        <w:rPr>
          <w:rFonts w:ascii="Calibri" w:hAnsi="Calibri" w:cs="Calibri"/>
        </w:rPr>
        <w:t xml:space="preserve">на положення </w:t>
      </w:r>
      <w:r>
        <w:rPr>
          <w:rFonts w:ascii="Calibri" w:hAnsi="Calibri" w:cs="Calibri"/>
        </w:rPr>
        <w:t>регулятор</w:t>
      </w:r>
      <w:r w:rsidRPr="00D13334">
        <w:rPr>
          <w:rFonts w:ascii="Calibri" w:hAnsi="Calibri" w:cs="Calibri"/>
        </w:rPr>
        <w:t xml:space="preserve"> на ринку праці в конкурентній боротьбі за кваліфікованих фахівців</w:t>
      </w:r>
      <w:r w:rsidR="00E07E08">
        <w:rPr>
          <w:rFonts w:ascii="Calibri" w:hAnsi="Calibri" w:cs="Calibri"/>
        </w:rPr>
        <w:t>. Д</w:t>
      </w:r>
      <w:r w:rsidR="00E23AB6">
        <w:rPr>
          <w:rFonts w:ascii="Calibri" w:hAnsi="Calibri" w:cs="Calibri"/>
        </w:rPr>
        <w:t>оцільно передбачити, що розмір їх зарплати</w:t>
      </w:r>
      <w:r w:rsidR="00E23AB6" w:rsidRPr="00E23AB6">
        <w:rPr>
          <w:rFonts w:ascii="Calibri" w:hAnsi="Calibri" w:cs="Calibri"/>
        </w:rPr>
        <w:t xml:space="preserve"> повин</w:t>
      </w:r>
      <w:r w:rsidR="00E23AB6">
        <w:rPr>
          <w:rFonts w:ascii="Calibri" w:hAnsi="Calibri" w:cs="Calibri"/>
        </w:rPr>
        <w:t>е</w:t>
      </w:r>
      <w:r w:rsidR="00E23AB6" w:rsidRPr="00E23AB6">
        <w:rPr>
          <w:rFonts w:ascii="Calibri" w:hAnsi="Calibri" w:cs="Calibri"/>
        </w:rPr>
        <w:t xml:space="preserve">н враховувати середній рівень оплати відповідних фахівців </w:t>
      </w:r>
      <w:r w:rsidR="00E23AB6">
        <w:rPr>
          <w:rFonts w:ascii="Calibri" w:hAnsi="Calibri" w:cs="Calibri"/>
        </w:rPr>
        <w:t xml:space="preserve"> на ринку </w:t>
      </w:r>
      <w:r w:rsidRPr="00D13334">
        <w:rPr>
          <w:rFonts w:ascii="Calibri" w:hAnsi="Calibri" w:cs="Calibri"/>
        </w:rPr>
        <w:t>.</w:t>
      </w:r>
    </w:p>
    <w:p w14:paraId="3ADD6910" w14:textId="34139E91" w:rsidR="002E2695" w:rsidRPr="002E2695" w:rsidRDefault="002E2695" w:rsidP="00907003">
      <w:pPr>
        <w:spacing w:after="100"/>
      </w:pPr>
      <w:r>
        <w:t xml:space="preserve">Передбачити переформатування </w:t>
      </w:r>
      <w:r w:rsidRPr="002E2695">
        <w:t xml:space="preserve"> </w:t>
      </w:r>
      <w:r>
        <w:t xml:space="preserve">апарату НКРЗ </w:t>
      </w:r>
      <w:r w:rsidR="00E23AB6">
        <w:t>на конкурсних засадах при створенні регулятора відповідно до закону про регулятора</w:t>
      </w:r>
      <w:r>
        <w:t>.</w:t>
      </w:r>
      <w:r w:rsidRPr="002E2695">
        <w:t xml:space="preserve"> </w:t>
      </w:r>
    </w:p>
    <w:p w14:paraId="3F3DA982" w14:textId="36FE1E8E" w:rsidR="00242C62" w:rsidRDefault="00242C62" w:rsidP="00907003">
      <w:pPr>
        <w:spacing w:after="100"/>
        <w:rPr>
          <w:b/>
          <w:bCs/>
        </w:rPr>
      </w:pPr>
      <w:r w:rsidRPr="00242C62">
        <w:rPr>
          <w:b/>
          <w:bCs/>
        </w:rPr>
        <w:t>Державне підприємство у сфері управління НКРЗ</w:t>
      </w:r>
    </w:p>
    <w:p w14:paraId="0BB7BA22" w14:textId="77777777" w:rsidR="00E07E08" w:rsidRDefault="00E07E08" w:rsidP="00E07E08">
      <w:pPr>
        <w:spacing w:after="100"/>
        <w:rPr>
          <w:i/>
          <w:iCs/>
        </w:rPr>
      </w:pPr>
      <w:r w:rsidRPr="009376AD">
        <w:rPr>
          <w:i/>
          <w:iCs/>
        </w:rPr>
        <w:t>Директив</w:t>
      </w:r>
      <w:r>
        <w:rPr>
          <w:i/>
          <w:iCs/>
        </w:rPr>
        <w:t>а</w:t>
      </w:r>
      <w:r w:rsidRPr="009376AD">
        <w:rPr>
          <w:i/>
          <w:iCs/>
        </w:rPr>
        <w:t xml:space="preserve"> ЄС 1972/2018</w:t>
      </w:r>
      <w:r>
        <w:rPr>
          <w:i/>
          <w:iCs/>
        </w:rPr>
        <w:t xml:space="preserve"> (п. 37)</w:t>
      </w:r>
      <w:r w:rsidRPr="009376AD">
        <w:rPr>
          <w:i/>
          <w:iCs/>
        </w:rPr>
        <w:t>:</w:t>
      </w:r>
    </w:p>
    <w:p w14:paraId="20F9153D" w14:textId="75DD4FC0" w:rsidR="001E1F91" w:rsidRPr="00CA53B4" w:rsidRDefault="00CA53B4" w:rsidP="00907003">
      <w:pPr>
        <w:spacing w:after="100"/>
        <w:rPr>
          <w:i/>
          <w:iCs/>
        </w:rPr>
      </w:pPr>
      <w:r w:rsidRPr="00CA53B4">
        <w:rPr>
          <w:i/>
          <w:iCs/>
        </w:rPr>
        <w:t>Р</w:t>
      </w:r>
      <w:r w:rsidR="001E1F91" w:rsidRPr="00CA53B4">
        <w:rPr>
          <w:i/>
          <w:iCs/>
        </w:rPr>
        <w:t>егуляторні органи несуть відповідальність принаймні щодо виконання наступних завдань:</w:t>
      </w:r>
    </w:p>
    <w:p w14:paraId="4DD378E5" w14:textId="7A5FFC87" w:rsidR="001E1F91" w:rsidRDefault="001E1F91" w:rsidP="00907003">
      <w:pPr>
        <w:spacing w:after="100"/>
        <w:rPr>
          <w:i/>
          <w:iCs/>
        </w:rPr>
      </w:pPr>
      <w:r w:rsidRPr="00CA53B4">
        <w:rPr>
          <w:i/>
          <w:iCs/>
        </w:rPr>
        <w:t>(c) здійснення управління радіочастотним спектром і прийняття рішень або, коли ці завдання покладені на інші компетентні органи, надаючи консультації щодо ринкових форм і елементів конкуренції національних процесів, пов'язаних з правами використання радіочастотного спектра для електронних комунікаційних мереж і послуг</w:t>
      </w:r>
      <w:r w:rsidR="00831928">
        <w:rPr>
          <w:i/>
          <w:iCs/>
        </w:rPr>
        <w:t>.</w:t>
      </w:r>
    </w:p>
    <w:p w14:paraId="0C0D9B03" w14:textId="46F0DCDC" w:rsidR="00F43E0F" w:rsidRDefault="002E2695" w:rsidP="00907003">
      <w:pPr>
        <w:spacing w:after="100"/>
      </w:pPr>
      <w:r w:rsidRPr="002E2695">
        <w:t xml:space="preserve">Всі регуляторні функції, передбачені Директивою 1972/2018 </w:t>
      </w:r>
      <w:r w:rsidR="00831928">
        <w:t xml:space="preserve">повинен </w:t>
      </w:r>
      <w:r w:rsidRPr="002E2695">
        <w:t>здійсню</w:t>
      </w:r>
      <w:r w:rsidR="00831928">
        <w:t>вати незалежний регулятор</w:t>
      </w:r>
      <w:r>
        <w:t xml:space="preserve">. Передача </w:t>
      </w:r>
      <w:r w:rsidR="00F43E0F">
        <w:t xml:space="preserve">окремих </w:t>
      </w:r>
      <w:r>
        <w:t>фун</w:t>
      </w:r>
      <w:r w:rsidR="00F43E0F">
        <w:t>кцій можлива лише іншому органу, який відповідає всім вимогам ЄС до незалежного регулятора.</w:t>
      </w:r>
    </w:p>
    <w:p w14:paraId="4DE6FDC3" w14:textId="6DBD0D9A" w:rsidR="002E2695" w:rsidRDefault="00F43E0F" w:rsidP="00907003">
      <w:pPr>
        <w:spacing w:after="100"/>
      </w:pPr>
      <w:r>
        <w:t>Питання залучення підвідомчого підприємства до виконання тих чи інших функцій не повинно обмежувати незалежність регулятора. Закон в окремих випадках повинен передбачати таке право, але не обов’язок регулятора.</w:t>
      </w:r>
    </w:p>
    <w:p w14:paraId="08BFD099" w14:textId="1FF9CFD9" w:rsidR="00831928" w:rsidRDefault="00831928" w:rsidP="00907003">
      <w:pPr>
        <w:spacing w:after="100"/>
      </w:pPr>
      <w:r w:rsidRPr="00831928">
        <w:t>В таких випадках, на працівників державного підприємства у сфері управління регуляторного органу, задіяних у виконанні регуляторних завдань мали б поширюватись вимоги Закону України «Про запобігання корупції»</w:t>
      </w:r>
      <w:r>
        <w:t xml:space="preserve"> (така можливість випливає з цього Закону)</w:t>
      </w:r>
      <w:r w:rsidRPr="00831928">
        <w:t>.</w:t>
      </w:r>
    </w:p>
    <w:p w14:paraId="2F8E0279" w14:textId="69106724" w:rsidR="00831928" w:rsidRDefault="00831928" w:rsidP="00907003">
      <w:pPr>
        <w:spacing w:after="100"/>
      </w:pPr>
      <w:r>
        <w:t>Так само, як і у випадку з завданнями і функціями регулятора – не дублювати в цьому закон</w:t>
      </w:r>
      <w:r w:rsidR="000F34AE">
        <w:t>і</w:t>
      </w:r>
      <w:r>
        <w:t xml:space="preserve"> положення законопроекту про електроні комунікації (3014), що відповідає правилам нормо - проектувальної техніки та не створюватиме колізій у разі відмінностей у формулюваннях.</w:t>
      </w:r>
    </w:p>
    <w:p w14:paraId="3B9CAF5A" w14:textId="2E58DE81" w:rsidR="00242C62" w:rsidRDefault="00242C62" w:rsidP="00907003">
      <w:pPr>
        <w:spacing w:after="100"/>
      </w:pPr>
      <w:r w:rsidRPr="00242C62">
        <w:rPr>
          <w:b/>
          <w:bCs/>
        </w:rPr>
        <w:t xml:space="preserve">Звітність </w:t>
      </w:r>
      <w:r w:rsidR="00457AD3">
        <w:rPr>
          <w:b/>
          <w:bCs/>
        </w:rPr>
        <w:t>регулятора</w:t>
      </w:r>
    </w:p>
    <w:p w14:paraId="48B6BE1A" w14:textId="30C3EDA2" w:rsidR="00CA53B4" w:rsidRPr="00CA53B4" w:rsidRDefault="00CA53B4" w:rsidP="00907003">
      <w:pPr>
        <w:spacing w:after="100"/>
        <w:rPr>
          <w:i/>
          <w:iCs/>
        </w:rPr>
      </w:pPr>
      <w:r w:rsidRPr="00CA53B4">
        <w:rPr>
          <w:i/>
          <w:iCs/>
        </w:rPr>
        <w:t>Директива ЄС 1972/2018 (ст.</w:t>
      </w:r>
      <w:r>
        <w:rPr>
          <w:i/>
          <w:iCs/>
        </w:rPr>
        <w:t>8</w:t>
      </w:r>
      <w:r w:rsidRPr="00CA53B4">
        <w:rPr>
          <w:i/>
          <w:iCs/>
        </w:rPr>
        <w:t>5):</w:t>
      </w:r>
    </w:p>
    <w:p w14:paraId="27A94B5F" w14:textId="1D94CB7C" w:rsidR="00351B91" w:rsidRDefault="00CA53B4" w:rsidP="00907003">
      <w:pPr>
        <w:spacing w:after="100"/>
        <w:rPr>
          <w:i/>
          <w:iCs/>
        </w:rPr>
      </w:pPr>
      <w:r w:rsidRPr="00CA53B4">
        <w:rPr>
          <w:i/>
          <w:iCs/>
        </w:rPr>
        <w:t>Р</w:t>
      </w:r>
      <w:r w:rsidR="00351B91" w:rsidRPr="00CA53B4">
        <w:rPr>
          <w:i/>
          <w:iCs/>
        </w:rPr>
        <w:t>егуляторні органи щорічно звітують, зокрема, про стан ринку електронних комунікацій, про рішення, які вони вирішують, про їхні людські та фінансові ресурси та про те, як ці ресурси розподіляються, а також про майбутні плани. Їхні звіти повинні бути оприлюднені.</w:t>
      </w:r>
    </w:p>
    <w:p w14:paraId="704F1023" w14:textId="7F964C37" w:rsidR="000F34AE" w:rsidRDefault="000F34AE" w:rsidP="00907003">
      <w:pPr>
        <w:spacing w:after="100"/>
      </w:pPr>
      <w:r w:rsidRPr="000F34AE">
        <w:t>Взяти за основу положення щодо звітності, напрацьовані в законопроекті про електроні комунікації (3014).</w:t>
      </w:r>
    </w:p>
    <w:p w14:paraId="43F6D610" w14:textId="6C206546" w:rsidR="00CB4461" w:rsidRDefault="00CB4461" w:rsidP="00907003">
      <w:pPr>
        <w:spacing w:after="100"/>
        <w:rPr>
          <w:b/>
          <w:bCs/>
        </w:rPr>
      </w:pPr>
      <w:r w:rsidRPr="00CB4461">
        <w:rPr>
          <w:b/>
          <w:bCs/>
        </w:rPr>
        <w:t>Електронна взаємодія з учасниками ринків</w:t>
      </w:r>
    </w:p>
    <w:p w14:paraId="19644603" w14:textId="584BF3C4" w:rsidR="00CB4461" w:rsidRDefault="00CB4461" w:rsidP="00907003">
      <w:pPr>
        <w:spacing w:after="100"/>
      </w:pPr>
      <w:r w:rsidRPr="000F34AE">
        <w:t xml:space="preserve">Взяти за основу положення щодо </w:t>
      </w:r>
      <w:r>
        <w:t>електронної регуляторної платформи</w:t>
      </w:r>
      <w:r w:rsidRPr="000F34AE">
        <w:t>, напрацьовані в законопроекті про електроні комунікації (3014).</w:t>
      </w:r>
    </w:p>
    <w:p w14:paraId="04FFE258" w14:textId="2F4D4C42" w:rsidR="00242C62" w:rsidRDefault="00242C62" w:rsidP="00907003">
      <w:pPr>
        <w:spacing w:after="100"/>
        <w:rPr>
          <w:b/>
          <w:bCs/>
        </w:rPr>
      </w:pPr>
      <w:r w:rsidRPr="00242C62">
        <w:rPr>
          <w:b/>
          <w:bCs/>
        </w:rPr>
        <w:t>Співробітництво з компетентними органами інших держав</w:t>
      </w:r>
    </w:p>
    <w:p w14:paraId="385A7290" w14:textId="633C18B9" w:rsidR="00CA53B4" w:rsidRPr="00CA53B4" w:rsidRDefault="00CA53B4" w:rsidP="00907003">
      <w:pPr>
        <w:spacing w:after="100"/>
        <w:rPr>
          <w:i/>
          <w:iCs/>
        </w:rPr>
      </w:pPr>
      <w:r w:rsidRPr="00CA53B4">
        <w:rPr>
          <w:i/>
          <w:iCs/>
        </w:rPr>
        <w:t xml:space="preserve">Директива ЄС 1972/2018 (ст. </w:t>
      </w:r>
      <w:r>
        <w:rPr>
          <w:i/>
          <w:iCs/>
        </w:rPr>
        <w:t>9, 10</w:t>
      </w:r>
      <w:r w:rsidRPr="00CA53B4">
        <w:rPr>
          <w:i/>
          <w:iCs/>
        </w:rPr>
        <w:t>):</w:t>
      </w:r>
    </w:p>
    <w:p w14:paraId="2C2873F1" w14:textId="77777777" w:rsidR="00FC4E63" w:rsidRDefault="001E1F91" w:rsidP="00907003">
      <w:pPr>
        <w:spacing w:after="100"/>
        <w:rPr>
          <w:i/>
          <w:iCs/>
        </w:rPr>
      </w:pPr>
      <w:r w:rsidRPr="00CA53B4">
        <w:rPr>
          <w:i/>
          <w:iCs/>
        </w:rPr>
        <w:t>Держави-члени забезпечують, щоб цілі BEREC сприяли більшій координації та узгодженості регуляторної діяльності та були активно підтримані відповідними національними регуляторними органами.</w:t>
      </w:r>
    </w:p>
    <w:p w14:paraId="3F5ACFF7" w14:textId="4A9736DE" w:rsidR="001E1F91" w:rsidRPr="00CA53B4" w:rsidRDefault="00CA53B4" w:rsidP="00907003">
      <w:pPr>
        <w:spacing w:after="100"/>
        <w:rPr>
          <w:i/>
          <w:iCs/>
        </w:rPr>
      </w:pPr>
      <w:r w:rsidRPr="00CA53B4">
        <w:rPr>
          <w:i/>
          <w:iCs/>
        </w:rPr>
        <w:t>На</w:t>
      </w:r>
      <w:r w:rsidR="001E1F91" w:rsidRPr="00CA53B4">
        <w:rPr>
          <w:i/>
          <w:iCs/>
        </w:rPr>
        <w:t>ціональні регуляторні органи</w:t>
      </w:r>
      <w:r w:rsidRPr="00CA53B4">
        <w:rPr>
          <w:i/>
          <w:iCs/>
        </w:rPr>
        <w:t xml:space="preserve"> повинні </w:t>
      </w:r>
      <w:r w:rsidR="001E1F91" w:rsidRPr="00CA53B4">
        <w:rPr>
          <w:i/>
          <w:iCs/>
        </w:rPr>
        <w:t xml:space="preserve"> максимально враховували керівні принципи, думки, рекомендації, спільні позиції, найкращі практики та методології, прийняті BEREC, ухвалюючи власні рішення для своїх національних ринків.</w:t>
      </w:r>
    </w:p>
    <w:p w14:paraId="33507A82" w14:textId="046DB950" w:rsidR="009376AD" w:rsidRDefault="009376AD" w:rsidP="00907003">
      <w:pPr>
        <w:spacing w:after="100"/>
      </w:pPr>
      <w:r w:rsidRPr="00CA53B4">
        <w:rPr>
          <w:i/>
          <w:iCs/>
        </w:rPr>
        <w:t>Держави-члени забезпечують наявність у національних регуляторних органів адекватних фінансових та людських ресурсів, які дозволять їм брати активну участь у роботі BEREC та робити свій внесок до неї</w:t>
      </w:r>
      <w:r w:rsidRPr="00CA53B4">
        <w:t>.</w:t>
      </w:r>
    </w:p>
    <w:p w14:paraId="006AD668" w14:textId="33C601D2" w:rsidR="000F34AE" w:rsidRPr="00CB4461" w:rsidRDefault="000F34AE" w:rsidP="00907003">
      <w:pPr>
        <w:spacing w:after="100"/>
      </w:pPr>
      <w:r w:rsidRPr="00CB4461">
        <w:t>Передбачити положення щодо взаємодії</w:t>
      </w:r>
      <w:r w:rsidR="00CB4461" w:rsidRPr="00CB4461">
        <w:t xml:space="preserve"> </w:t>
      </w:r>
      <w:r w:rsidRPr="00CB4461">
        <w:t xml:space="preserve"> </w:t>
      </w:r>
      <w:r w:rsidR="00CB4461" w:rsidRPr="00CB4461">
        <w:t>BEREC, іншими міжнародними організаціями з урахуванням  того, що Україна на даний час не є членом ЄС</w:t>
      </w:r>
      <w:r w:rsidR="00CB4461">
        <w:t>.</w:t>
      </w:r>
    </w:p>
    <w:p w14:paraId="679B0ADB" w14:textId="11A4ABA0" w:rsidR="00242C62" w:rsidRDefault="00242C62" w:rsidP="00907003">
      <w:pPr>
        <w:spacing w:after="100"/>
        <w:rPr>
          <w:b/>
          <w:bCs/>
        </w:rPr>
      </w:pPr>
      <w:r w:rsidRPr="00242C62">
        <w:rPr>
          <w:b/>
          <w:bCs/>
        </w:rPr>
        <w:t xml:space="preserve">Відповідальність голови, членів та працівників апарату </w:t>
      </w:r>
      <w:r w:rsidR="00CB4461">
        <w:rPr>
          <w:b/>
          <w:bCs/>
        </w:rPr>
        <w:t>регулятора</w:t>
      </w:r>
    </w:p>
    <w:p w14:paraId="37944C52" w14:textId="2A9AC01E" w:rsidR="008206CF" w:rsidRPr="008206CF" w:rsidRDefault="008206CF" w:rsidP="00907003">
      <w:pPr>
        <w:spacing w:after="100"/>
      </w:pPr>
      <w:r w:rsidRPr="008206CF">
        <w:t>Передбачити відповідальність</w:t>
      </w:r>
      <w:r w:rsidR="00CB4461">
        <w:t xml:space="preserve"> та відшкодування збитків завданих неправомірними рішеннями регулятора. </w:t>
      </w:r>
    </w:p>
    <w:p w14:paraId="4EEF9CA8" w14:textId="3ED23FCC" w:rsidR="002C7E0C" w:rsidRDefault="002C7E0C" w:rsidP="00907003">
      <w:pPr>
        <w:spacing w:after="100"/>
        <w:rPr>
          <w:b/>
          <w:bCs/>
        </w:rPr>
      </w:pPr>
      <w:r w:rsidRPr="00E97E05">
        <w:rPr>
          <w:b/>
          <w:bCs/>
        </w:rPr>
        <w:t>Рекомендована структура</w:t>
      </w:r>
      <w:r w:rsidR="00CB4461">
        <w:rPr>
          <w:b/>
          <w:bCs/>
        </w:rPr>
        <w:t xml:space="preserve"> законопроекту</w:t>
      </w:r>
      <w:r w:rsidRPr="00E97E05">
        <w:rPr>
          <w:b/>
          <w:bCs/>
        </w:rPr>
        <w:t>:</w:t>
      </w:r>
    </w:p>
    <w:p w14:paraId="5959BC63" w14:textId="77777777" w:rsidR="002C7E0C" w:rsidRDefault="002C7E0C" w:rsidP="00907003">
      <w:pPr>
        <w:spacing w:after="100"/>
      </w:pPr>
      <w:r>
        <w:t>П</w:t>
      </w:r>
      <w:r w:rsidRPr="00E97E05">
        <w:t xml:space="preserve">реамбула </w:t>
      </w:r>
    </w:p>
    <w:p w14:paraId="0F59EDAC" w14:textId="77777777" w:rsidR="00CB4461" w:rsidRPr="00CB4461" w:rsidRDefault="00CB4461" w:rsidP="00907003">
      <w:pPr>
        <w:spacing w:after="100"/>
      </w:pPr>
      <w:r w:rsidRPr="00CB4461">
        <w:t>Розділ І Загальні положення</w:t>
      </w:r>
    </w:p>
    <w:p w14:paraId="07FF9D74" w14:textId="77777777" w:rsidR="00CB4461" w:rsidRPr="00CB4461" w:rsidRDefault="00CB4461" w:rsidP="00907003">
      <w:pPr>
        <w:spacing w:after="100"/>
      </w:pPr>
      <w:r w:rsidRPr="00CB4461">
        <w:t>Стаття 1. Статус та правові засади діяльності</w:t>
      </w:r>
    </w:p>
    <w:p w14:paraId="0F0A76B8" w14:textId="77777777" w:rsidR="00CB4461" w:rsidRPr="00907003" w:rsidRDefault="00CB4461" w:rsidP="00907003">
      <w:pPr>
        <w:spacing w:after="100"/>
      </w:pPr>
      <w:r w:rsidRPr="00907003">
        <w:t>Стаття 2. Завдання та основні принципи діяльності</w:t>
      </w:r>
    </w:p>
    <w:p w14:paraId="26B1E79F" w14:textId="77777777" w:rsidR="002C7E0C" w:rsidRDefault="002C7E0C" w:rsidP="00907003">
      <w:pPr>
        <w:spacing w:after="100"/>
      </w:pPr>
      <w:r>
        <w:t>Стаття 3 Гарантії незалежності</w:t>
      </w:r>
    </w:p>
    <w:p w14:paraId="120F8293" w14:textId="0DE57E4F" w:rsidR="002C7E0C" w:rsidRPr="00E97E05" w:rsidRDefault="002C7E0C" w:rsidP="00907003">
      <w:pPr>
        <w:spacing w:after="100"/>
      </w:pPr>
      <w:r>
        <w:t xml:space="preserve">Стаття 4 Вимоги до осіб, що призначаються на посаду члена </w:t>
      </w:r>
      <w:r w:rsidR="00CB4461">
        <w:t>регуляторного органа</w:t>
      </w:r>
    </w:p>
    <w:p w14:paraId="781103A3" w14:textId="110D68E7" w:rsidR="002C7E0C" w:rsidRPr="00E97E05" w:rsidRDefault="002C7E0C" w:rsidP="00907003">
      <w:pPr>
        <w:spacing w:after="100"/>
      </w:pPr>
      <w:r>
        <w:t xml:space="preserve">Стаття 5 Відбір та призначення членів </w:t>
      </w:r>
      <w:r w:rsidR="00CB4461">
        <w:t>регуляторного органа</w:t>
      </w:r>
    </w:p>
    <w:p w14:paraId="3FC573EF" w14:textId="64D19025" w:rsidR="002C7E0C" w:rsidRPr="00E97E05" w:rsidRDefault="002C7E0C" w:rsidP="00907003">
      <w:pPr>
        <w:spacing w:after="100"/>
      </w:pPr>
      <w:r>
        <w:t xml:space="preserve">Стаття 6 Підстави та порядок дострокового припинення повноважень голови та членів </w:t>
      </w:r>
      <w:r w:rsidR="00CB4461">
        <w:t>регуляторного органа</w:t>
      </w:r>
    </w:p>
    <w:p w14:paraId="14FD6B13" w14:textId="7BDABA1C" w:rsidR="002C7E0C" w:rsidRPr="00E97E05" w:rsidRDefault="002C7E0C" w:rsidP="00907003">
      <w:pPr>
        <w:spacing w:after="100"/>
      </w:pPr>
      <w:r>
        <w:t xml:space="preserve">Стаття 7 Обмеження, що застосовуються до голови, членів та працівників апарату </w:t>
      </w:r>
      <w:r w:rsidR="00CB4461">
        <w:t>регуляторного органа</w:t>
      </w:r>
    </w:p>
    <w:p w14:paraId="590163CF" w14:textId="321C69B7" w:rsidR="002C7E0C" w:rsidRDefault="002C7E0C" w:rsidP="00907003">
      <w:pPr>
        <w:spacing w:after="100"/>
      </w:pPr>
      <w:r>
        <w:t xml:space="preserve">Стаття 8 </w:t>
      </w:r>
      <w:r w:rsidR="00CB4461">
        <w:t>Г</w:t>
      </w:r>
      <w:r>
        <w:t>олов</w:t>
      </w:r>
      <w:r w:rsidR="00CB4461">
        <w:t>а</w:t>
      </w:r>
      <w:r>
        <w:t xml:space="preserve"> та член</w:t>
      </w:r>
      <w:r w:rsidR="00CB4461">
        <w:t>и</w:t>
      </w:r>
      <w:r>
        <w:t xml:space="preserve"> </w:t>
      </w:r>
      <w:r w:rsidR="00CB4461">
        <w:t>регуляторного органа</w:t>
      </w:r>
    </w:p>
    <w:p w14:paraId="44CFB214" w14:textId="4F6754B4" w:rsidR="002C7E0C" w:rsidRPr="00E97E05" w:rsidRDefault="002C7E0C" w:rsidP="00907003">
      <w:pPr>
        <w:spacing w:after="100"/>
      </w:pPr>
      <w:r>
        <w:t xml:space="preserve">Стаття </w:t>
      </w:r>
      <w:r w:rsidR="00907003">
        <w:t>9</w:t>
      </w:r>
      <w:r>
        <w:t xml:space="preserve"> Відкритість діяльності </w:t>
      </w:r>
      <w:r w:rsidR="00CB4461">
        <w:t>регуляторного органа</w:t>
      </w:r>
    </w:p>
    <w:p w14:paraId="0D2E2A29" w14:textId="2FBC3BD4" w:rsidR="00CB4461" w:rsidRDefault="002C7E0C" w:rsidP="00907003">
      <w:pPr>
        <w:spacing w:after="100"/>
      </w:pPr>
      <w:r>
        <w:t>Стаття 1</w:t>
      </w:r>
      <w:r w:rsidR="00907003">
        <w:t>0</w:t>
      </w:r>
      <w:r>
        <w:t xml:space="preserve"> Організація роботи та прийняття рішень </w:t>
      </w:r>
      <w:r w:rsidR="00CB4461">
        <w:t xml:space="preserve">регуляторного органа </w:t>
      </w:r>
    </w:p>
    <w:p w14:paraId="73DC079E" w14:textId="11D714BC" w:rsidR="002C7E0C" w:rsidRDefault="002C7E0C" w:rsidP="00907003">
      <w:pPr>
        <w:spacing w:after="100"/>
      </w:pPr>
      <w:r>
        <w:t>Стаття 1</w:t>
      </w:r>
      <w:r w:rsidR="00907003">
        <w:t>1</w:t>
      </w:r>
      <w:r>
        <w:t xml:space="preserve"> Акти </w:t>
      </w:r>
      <w:r w:rsidR="00CB4461">
        <w:t>регуляторного органа</w:t>
      </w:r>
    </w:p>
    <w:p w14:paraId="5B1D3467" w14:textId="405BC4A3" w:rsidR="002C7E0C" w:rsidRPr="00E97E05" w:rsidRDefault="002C7E0C" w:rsidP="00907003">
      <w:pPr>
        <w:spacing w:after="100"/>
      </w:pPr>
      <w:r>
        <w:t>Стаття 1</w:t>
      </w:r>
      <w:r w:rsidR="00907003">
        <w:t>2</w:t>
      </w:r>
      <w:r>
        <w:t xml:space="preserve"> Взаємодія з іншими державними органами</w:t>
      </w:r>
    </w:p>
    <w:p w14:paraId="0A7044F0" w14:textId="05AADC55" w:rsidR="002C7E0C" w:rsidRDefault="002C7E0C" w:rsidP="00907003">
      <w:pPr>
        <w:spacing w:after="100"/>
      </w:pPr>
      <w:r>
        <w:t>Стаття 1</w:t>
      </w:r>
      <w:r w:rsidR="00907003">
        <w:t>3</w:t>
      </w:r>
      <w:r w:rsidRPr="003107B3">
        <w:t xml:space="preserve"> </w:t>
      </w:r>
      <w:r>
        <w:t>Фінансування діяльності</w:t>
      </w:r>
      <w:r w:rsidR="00CB4461" w:rsidRPr="00CB4461">
        <w:t xml:space="preserve"> </w:t>
      </w:r>
      <w:r w:rsidR="00CB4461">
        <w:t>регуляторного органа</w:t>
      </w:r>
    </w:p>
    <w:p w14:paraId="101165C9" w14:textId="74460F57" w:rsidR="002C7E0C" w:rsidRPr="00E97E05" w:rsidRDefault="002C7E0C" w:rsidP="00907003">
      <w:pPr>
        <w:spacing w:after="100"/>
      </w:pPr>
      <w:r>
        <w:t>Стаття 1</w:t>
      </w:r>
      <w:r w:rsidR="00907003">
        <w:t>4</w:t>
      </w:r>
      <w:r>
        <w:t xml:space="preserve"> Оплата праці голови, членів та працівників апарату </w:t>
      </w:r>
      <w:r w:rsidR="00CB4461">
        <w:t>регуляторного органа</w:t>
      </w:r>
    </w:p>
    <w:p w14:paraId="067A8526" w14:textId="06C6BA78" w:rsidR="002C7E0C" w:rsidRDefault="002C7E0C" w:rsidP="00907003">
      <w:pPr>
        <w:spacing w:after="100"/>
      </w:pPr>
      <w:r>
        <w:t>Стаття 1</w:t>
      </w:r>
      <w:r w:rsidR="00907003">
        <w:t>5</w:t>
      </w:r>
      <w:r>
        <w:t xml:space="preserve"> Апарат </w:t>
      </w:r>
      <w:r w:rsidR="00CB4461">
        <w:t>регуляторного органа</w:t>
      </w:r>
    </w:p>
    <w:p w14:paraId="2552ADF7" w14:textId="5291C0D2" w:rsidR="002C7E0C" w:rsidRPr="00E97E05" w:rsidRDefault="002C7E0C" w:rsidP="00907003">
      <w:pPr>
        <w:spacing w:after="100"/>
      </w:pPr>
      <w:r>
        <w:t>Стаття 1</w:t>
      </w:r>
      <w:r w:rsidR="00907003">
        <w:t>6</w:t>
      </w:r>
      <w:r>
        <w:t xml:space="preserve"> Державне підприємство у сфері управління </w:t>
      </w:r>
      <w:r w:rsidR="00CB4461">
        <w:t>регуляторного органа</w:t>
      </w:r>
    </w:p>
    <w:p w14:paraId="6FE8A82E" w14:textId="415B818F" w:rsidR="002C7E0C" w:rsidRDefault="002C7E0C" w:rsidP="00907003">
      <w:pPr>
        <w:spacing w:after="100"/>
      </w:pPr>
      <w:r>
        <w:t>Стаття 1</w:t>
      </w:r>
      <w:r w:rsidR="00907003">
        <w:t>7</w:t>
      </w:r>
      <w:r>
        <w:t xml:space="preserve"> Звітність </w:t>
      </w:r>
      <w:r w:rsidR="00CB4461">
        <w:t>регуляторного органа</w:t>
      </w:r>
    </w:p>
    <w:p w14:paraId="075CD063" w14:textId="77777777" w:rsidR="00907003" w:rsidRPr="00907003" w:rsidRDefault="00907003" w:rsidP="00907003">
      <w:pPr>
        <w:spacing w:after="100"/>
      </w:pPr>
      <w:r w:rsidRPr="00907003">
        <w:t>Стаття 18. Електронна регуляторна платформа</w:t>
      </w:r>
    </w:p>
    <w:p w14:paraId="4B88E98B" w14:textId="77777777" w:rsidR="002C7E0C" w:rsidRPr="00E97E05" w:rsidRDefault="002C7E0C" w:rsidP="00907003">
      <w:pPr>
        <w:spacing w:after="100"/>
      </w:pPr>
      <w:r>
        <w:t>Стаття 19 Співробітництво з компетентними органами інших держав</w:t>
      </w:r>
    </w:p>
    <w:p w14:paraId="5E7444A6" w14:textId="20D3E5AC" w:rsidR="002C7E0C" w:rsidRPr="00E97E05" w:rsidRDefault="002C7E0C" w:rsidP="00907003">
      <w:pPr>
        <w:spacing w:after="100"/>
      </w:pPr>
      <w:r>
        <w:t xml:space="preserve">Стаття 20 Відповідальність голови, членів та працівників апарату </w:t>
      </w:r>
      <w:r w:rsidR="00CB4461">
        <w:t>регуляторного органа</w:t>
      </w:r>
    </w:p>
    <w:p w14:paraId="2D7A7543" w14:textId="77777777" w:rsidR="002C7E0C" w:rsidRPr="00907003" w:rsidRDefault="002C7E0C" w:rsidP="00907003">
      <w:pPr>
        <w:spacing w:after="100"/>
      </w:pPr>
      <w:r>
        <w:t>Розділ ІІ Прикінцеві та перехідні положення</w:t>
      </w:r>
      <w:r w:rsidRPr="00907003">
        <w:t xml:space="preserve"> </w:t>
      </w:r>
    </w:p>
    <w:p w14:paraId="377638A4" w14:textId="6E86327F" w:rsidR="00242C62" w:rsidRDefault="00242C62" w:rsidP="00907003">
      <w:pPr>
        <w:spacing w:after="100"/>
        <w:rPr>
          <w:b/>
          <w:bCs/>
        </w:rPr>
      </w:pPr>
    </w:p>
    <w:p w14:paraId="2D4C3364" w14:textId="77777777" w:rsidR="00907003" w:rsidRDefault="00907003" w:rsidP="00907003">
      <w:pPr>
        <w:spacing w:after="100"/>
        <w:rPr>
          <w:b/>
          <w:bCs/>
        </w:rPr>
      </w:pPr>
    </w:p>
    <w:sectPr w:rsidR="00907003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6BE74" w14:textId="77777777" w:rsidR="000458A2" w:rsidRDefault="000458A2" w:rsidP="00907003">
      <w:pPr>
        <w:spacing w:after="0" w:line="240" w:lineRule="auto"/>
      </w:pPr>
      <w:r>
        <w:separator/>
      </w:r>
    </w:p>
  </w:endnote>
  <w:endnote w:type="continuationSeparator" w:id="0">
    <w:p w14:paraId="1D7162E1" w14:textId="77777777" w:rsidR="000458A2" w:rsidRDefault="000458A2" w:rsidP="0090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0945437"/>
      <w:docPartObj>
        <w:docPartGallery w:val="Page Numbers (Bottom of Page)"/>
        <w:docPartUnique/>
      </w:docPartObj>
    </w:sdtPr>
    <w:sdtEndPr/>
    <w:sdtContent>
      <w:p w14:paraId="7A634D58" w14:textId="32E03F37" w:rsidR="00907003" w:rsidRDefault="009070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1D92F39" w14:textId="77777777" w:rsidR="00907003" w:rsidRDefault="0090700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29138" w14:textId="77777777" w:rsidR="000458A2" w:rsidRDefault="000458A2" w:rsidP="00907003">
      <w:pPr>
        <w:spacing w:after="0" w:line="240" w:lineRule="auto"/>
      </w:pPr>
      <w:r>
        <w:separator/>
      </w:r>
    </w:p>
  </w:footnote>
  <w:footnote w:type="continuationSeparator" w:id="0">
    <w:p w14:paraId="34742955" w14:textId="77777777" w:rsidR="000458A2" w:rsidRDefault="000458A2" w:rsidP="0090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83284"/>
    <w:multiLevelType w:val="hybridMultilevel"/>
    <w:tmpl w:val="638211DA"/>
    <w:lvl w:ilvl="0" w:tplc="544C7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6C"/>
    <w:rsid w:val="000155CA"/>
    <w:rsid w:val="000170D0"/>
    <w:rsid w:val="00025DF0"/>
    <w:rsid w:val="000458A2"/>
    <w:rsid w:val="00073E3C"/>
    <w:rsid w:val="0007491D"/>
    <w:rsid w:val="00080A26"/>
    <w:rsid w:val="000A6803"/>
    <w:rsid w:val="000C3909"/>
    <w:rsid w:val="000E4AAB"/>
    <w:rsid w:val="000E73FE"/>
    <w:rsid w:val="000F34AE"/>
    <w:rsid w:val="00147A0C"/>
    <w:rsid w:val="001B24D7"/>
    <w:rsid w:val="001B2BEF"/>
    <w:rsid w:val="001D44E1"/>
    <w:rsid w:val="001E1F91"/>
    <w:rsid w:val="00225F78"/>
    <w:rsid w:val="00242C62"/>
    <w:rsid w:val="00255C97"/>
    <w:rsid w:val="002C7E0C"/>
    <w:rsid w:val="002E194A"/>
    <w:rsid w:val="002E2695"/>
    <w:rsid w:val="002E3342"/>
    <w:rsid w:val="002F343B"/>
    <w:rsid w:val="002F58F8"/>
    <w:rsid w:val="003107B3"/>
    <w:rsid w:val="00351B91"/>
    <w:rsid w:val="00371DEA"/>
    <w:rsid w:val="00387059"/>
    <w:rsid w:val="0039122B"/>
    <w:rsid w:val="003D7D44"/>
    <w:rsid w:val="003E39E9"/>
    <w:rsid w:val="00440148"/>
    <w:rsid w:val="00457AD3"/>
    <w:rsid w:val="004A3004"/>
    <w:rsid w:val="004D5D4F"/>
    <w:rsid w:val="004E1AA4"/>
    <w:rsid w:val="004F2C2A"/>
    <w:rsid w:val="0056435D"/>
    <w:rsid w:val="005715EC"/>
    <w:rsid w:val="00582E00"/>
    <w:rsid w:val="005D2EE9"/>
    <w:rsid w:val="00654927"/>
    <w:rsid w:val="006E4868"/>
    <w:rsid w:val="006F7F0B"/>
    <w:rsid w:val="00703BF6"/>
    <w:rsid w:val="0076015D"/>
    <w:rsid w:val="00767103"/>
    <w:rsid w:val="00775B75"/>
    <w:rsid w:val="00784895"/>
    <w:rsid w:val="007B626C"/>
    <w:rsid w:val="007E56A7"/>
    <w:rsid w:val="008206CF"/>
    <w:rsid w:val="00822A49"/>
    <w:rsid w:val="00831928"/>
    <w:rsid w:val="00870DF6"/>
    <w:rsid w:val="00891FFC"/>
    <w:rsid w:val="00895067"/>
    <w:rsid w:val="009032F2"/>
    <w:rsid w:val="00907003"/>
    <w:rsid w:val="009252D2"/>
    <w:rsid w:val="009376AD"/>
    <w:rsid w:val="00947D56"/>
    <w:rsid w:val="009B7939"/>
    <w:rsid w:val="009C4A9B"/>
    <w:rsid w:val="009E6977"/>
    <w:rsid w:val="00A00698"/>
    <w:rsid w:val="00A12E30"/>
    <w:rsid w:val="00AA2E99"/>
    <w:rsid w:val="00AD4060"/>
    <w:rsid w:val="00B1024A"/>
    <w:rsid w:val="00B24122"/>
    <w:rsid w:val="00B47C49"/>
    <w:rsid w:val="00B8665F"/>
    <w:rsid w:val="00BA1530"/>
    <w:rsid w:val="00BC23D9"/>
    <w:rsid w:val="00BC64B1"/>
    <w:rsid w:val="00C0113B"/>
    <w:rsid w:val="00C634D3"/>
    <w:rsid w:val="00C90C68"/>
    <w:rsid w:val="00CA53B4"/>
    <w:rsid w:val="00CB4461"/>
    <w:rsid w:val="00D036A2"/>
    <w:rsid w:val="00D25773"/>
    <w:rsid w:val="00D330FA"/>
    <w:rsid w:val="00D43624"/>
    <w:rsid w:val="00D81EE6"/>
    <w:rsid w:val="00E07794"/>
    <w:rsid w:val="00E07E08"/>
    <w:rsid w:val="00E23AB6"/>
    <w:rsid w:val="00E60057"/>
    <w:rsid w:val="00E60403"/>
    <w:rsid w:val="00E7143A"/>
    <w:rsid w:val="00E870F9"/>
    <w:rsid w:val="00E97E05"/>
    <w:rsid w:val="00EB67B0"/>
    <w:rsid w:val="00EC0B98"/>
    <w:rsid w:val="00ED6AD1"/>
    <w:rsid w:val="00F10512"/>
    <w:rsid w:val="00F43E0F"/>
    <w:rsid w:val="00FB1197"/>
    <w:rsid w:val="00FC4E63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AA48"/>
  <w15:chartTrackingRefBased/>
  <w15:docId w15:val="{D6342DC7-D4F8-42D4-A75B-E45B884B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6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B67B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7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3A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08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080A2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C4E63"/>
    <w:rPr>
      <w:color w:val="605E5C"/>
      <w:shd w:val="clear" w:color="auto" w:fill="E1DFDD"/>
    </w:rPr>
  </w:style>
  <w:style w:type="paragraph" w:styleId="a7">
    <w:name w:val="annotation text"/>
    <w:basedOn w:val="a"/>
    <w:link w:val="a8"/>
    <w:uiPriority w:val="99"/>
    <w:semiHidden/>
    <w:unhideWhenUsed/>
    <w:rsid w:val="008206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06CF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47D56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070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7003"/>
  </w:style>
  <w:style w:type="paragraph" w:styleId="ac">
    <w:name w:val="footer"/>
    <w:basedOn w:val="a"/>
    <w:link w:val="ad"/>
    <w:uiPriority w:val="99"/>
    <w:unhideWhenUsed/>
    <w:rsid w:val="009070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7003"/>
  </w:style>
  <w:style w:type="paragraph" w:styleId="ae">
    <w:name w:val="List Paragraph"/>
    <w:basedOn w:val="a"/>
    <w:uiPriority w:val="34"/>
    <w:qFormat/>
    <w:rsid w:val="0077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ec.europa.eu/digital-single-market/en/telecommunications-national-regulatory-author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5945FF70B693479696A2D9F3DB99C0" ma:contentTypeVersion="6" ma:contentTypeDescription="Створення нового документа." ma:contentTypeScope="" ma:versionID="99ef22f2c2b4010662a641e589d7e10b">
  <xsd:schema xmlns:xsd="http://www.w3.org/2001/XMLSchema" xmlns:xs="http://www.w3.org/2001/XMLSchema" xmlns:p="http://schemas.microsoft.com/office/2006/metadata/properties" xmlns:ns2="62052c39-ae15-4c5d-841c-a94b350b123d" xmlns:ns3="333a9da2-3740-45f4-b469-8c6b58d6cae7" targetNamespace="http://schemas.microsoft.com/office/2006/metadata/properties" ma:root="true" ma:fieldsID="699e312d999cc772aac4d7b0b09e7ade" ns2:_="" ns3:_="">
    <xsd:import namespace="62052c39-ae15-4c5d-841c-a94b350b123d"/>
    <xsd:import namespace="333a9da2-3740-45f4-b469-8c6b58d6c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2c39-ae15-4c5d-841c-a94b350b1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a9da2-3740-45f4-b469-8c6b58d6c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FD40B-5921-4540-BAC2-45D8EF176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30977-0CE6-4537-B4AD-5E52A32AA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52c39-ae15-4c5d-841c-a94b350b123d"/>
    <ds:schemaRef ds:uri="333a9da2-3740-45f4-b469-8c6b58d6c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B5DA-D3C8-4376-A2A3-DB359379AF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7</Pages>
  <Words>13680</Words>
  <Characters>7798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Kostryba</dc:creator>
  <cp:keywords/>
  <dc:description/>
  <cp:lastModifiedBy>Nadiia Kostryba</cp:lastModifiedBy>
  <cp:revision>40</cp:revision>
  <dcterms:created xsi:type="dcterms:W3CDTF">2020-02-11T14:24:00Z</dcterms:created>
  <dcterms:modified xsi:type="dcterms:W3CDTF">2020-06-01T16:24:00Z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0x0101005C5945FF70B693479696A2D9F3DB99C0</vt:lpwstr>
  </property>
</Properties>
</file>