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2BB9" w:rsidP="00816009" w:rsidRDefault="00D42BB9" w14:paraId="58EB07E3" w14:textId="1F21C005">
      <w:pPr>
        <w:ind w:firstLine="0"/>
        <w:jc w:val="center"/>
        <w:rPr>
          <w:b/>
          <w:bCs/>
        </w:rPr>
      </w:pPr>
      <w:r w:rsidRPr="0DED964F" w:rsidR="00D42BB9">
        <w:rPr>
          <w:b w:val="1"/>
          <w:bCs w:val="1"/>
        </w:rPr>
        <w:t>ПРОГНОЗ ВПЛИВУ</w:t>
      </w:r>
      <w:r>
        <w:br/>
      </w:r>
      <w:r w:rsidRPr="0DED964F" w:rsidR="00D42BB9">
        <w:rPr>
          <w:b w:val="1"/>
          <w:bCs w:val="1"/>
        </w:rPr>
        <w:t xml:space="preserve">реалізації </w:t>
      </w:r>
      <w:r w:rsidRPr="0DED964F" w:rsidR="00D42BB9">
        <w:rPr>
          <w:b w:val="1"/>
          <w:bCs w:val="1"/>
        </w:rPr>
        <w:t>акта</w:t>
      </w:r>
      <w:r w:rsidRPr="0DED964F" w:rsidR="00D42BB9">
        <w:rPr>
          <w:b w:val="1"/>
          <w:bCs w:val="1"/>
        </w:rPr>
        <w:t xml:space="preserve"> на ключові інтереси заінтересованих сторін</w:t>
      </w:r>
    </w:p>
    <w:p w:rsidRPr="000749A2" w:rsidR="00D42BB9" w:rsidP="00D42BB9" w:rsidRDefault="00D42BB9" w14:paraId="4B9A7272" w14:textId="16A96993">
      <w:pPr>
        <w:rPr>
          <w:b/>
          <w:bCs/>
        </w:rPr>
      </w:pPr>
      <w:bookmarkStart w:name="n1760" w:id="0"/>
      <w:bookmarkEnd w:id="0"/>
      <w:r w:rsidRPr="00D42BB9">
        <w:rPr>
          <w:b/>
          <w:bCs/>
        </w:rPr>
        <w:t xml:space="preserve">1. </w:t>
      </w:r>
      <w:r w:rsidRPr="000749A2" w:rsidR="00C93CFC">
        <w:rPr>
          <w:b/>
          <w:bCs/>
        </w:rPr>
        <w:t>С</w:t>
      </w:r>
      <w:r w:rsidRPr="00D42BB9">
        <w:rPr>
          <w:b/>
          <w:bCs/>
        </w:rPr>
        <w:t xml:space="preserve">уть проекту </w:t>
      </w:r>
      <w:proofErr w:type="spellStart"/>
      <w:r w:rsidRPr="00D42BB9">
        <w:rPr>
          <w:b/>
          <w:bCs/>
        </w:rPr>
        <w:t>акта</w:t>
      </w:r>
      <w:proofErr w:type="spellEnd"/>
    </w:p>
    <w:p w:rsidR="00C93CFC" w:rsidP="0DED964F" w:rsidRDefault="000749A2" w14:paraId="776C2E9A" w14:textId="6182DFD7">
      <w:pPr>
        <w:pStyle w:val="a"/>
        <w:rPr>
          <w:rFonts w:ascii="Times New Roman" w:hAnsi="Times New Roman" w:eastAsia="Calibri" w:cs="Arial" w:eastAsiaTheme="minorAscii" w:cstheme="minorBidi"/>
          <w:sz w:val="24"/>
          <w:szCs w:val="24"/>
        </w:rPr>
      </w:pPr>
      <w:r w:rsidR="000749A2">
        <w:rPr/>
        <w:t xml:space="preserve">Проект </w:t>
      </w:r>
      <w:r w:rsidR="000749A2">
        <w:rPr/>
        <w:t>акта</w:t>
      </w:r>
      <w:r w:rsidR="64BF203F">
        <w:rPr/>
        <w:t>:</w:t>
      </w:r>
    </w:p>
    <w:p w:rsidR="00C93CFC" w:rsidP="232CB676" w:rsidRDefault="000749A2" w14:paraId="11023ADF" w14:textId="1AA50429">
      <w:pPr>
        <w:pStyle w:val="a5"/>
        <w:numPr>
          <w:ilvl w:val="1"/>
          <w:numId w:val="7"/>
        </w:numPr>
        <w:bidi w:val="0"/>
        <w:spacing w:before="0" w:beforeAutospacing="off" w:after="0" w:afterAutospacing="off" w:line="240" w:lineRule="auto"/>
        <w:ind w:left="1440" w:right="0" w:hanging="36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59680583">
        <w:rPr/>
        <w:t xml:space="preserve">встановлює </w:t>
      </w:r>
      <w:r w:rsidR="48837E6D">
        <w:rPr/>
        <w:t xml:space="preserve">обов’язкові </w:t>
      </w:r>
      <w:r w:rsidR="50ED0A71">
        <w:rPr/>
        <w:t xml:space="preserve">підготовчі </w:t>
      </w:r>
      <w:r w:rsidR="48837E6D">
        <w:rPr/>
        <w:t>про</w:t>
      </w:r>
      <w:r w:rsidR="48837E6D">
        <w:rPr/>
        <w:t>цедури (</w:t>
      </w:r>
      <w:r w:rsidRPr="232CB676" w:rsidR="682A0D7E">
        <w:rPr>
          <w:noProof w:val="0"/>
          <w:lang w:val="uk-UA"/>
        </w:rPr>
        <w:t>категоризація наявної інформації</w:t>
      </w:r>
      <w:r w:rsidRPr="232CB676" w:rsidR="78F32417">
        <w:rPr>
          <w:noProof w:val="0"/>
          <w:lang w:val="uk-UA"/>
        </w:rPr>
        <w:t xml:space="preserve"> та трискладовий тест</w:t>
      </w:r>
      <w:r w:rsidR="48837E6D">
        <w:rPr/>
        <w:t>)</w:t>
      </w:r>
      <w:r w:rsidR="14493B2E">
        <w:rPr/>
        <w:t xml:space="preserve">, необхідні </w:t>
      </w:r>
      <w:r w:rsidR="000749A2">
        <w:rPr/>
        <w:t xml:space="preserve"> </w:t>
      </w:r>
      <w:r w:rsidR="645015ED">
        <w:rPr/>
        <w:t xml:space="preserve">для вчасного та повного </w:t>
      </w:r>
      <w:proofErr w:type="spellStart"/>
      <w:r w:rsidR="645015ED">
        <w:rPr/>
        <w:t>проактивного</w:t>
      </w:r>
      <w:proofErr w:type="spellEnd"/>
      <w:r w:rsidR="645015ED">
        <w:rPr/>
        <w:t xml:space="preserve"> оприлюднення всієї публічної інформації</w:t>
      </w:r>
      <w:r w:rsidR="258432B9">
        <w:rPr/>
        <w:t>;</w:t>
      </w:r>
    </w:p>
    <w:p w:rsidR="00C93CFC" w:rsidP="232CB676" w:rsidRDefault="000749A2" w14:paraId="0A1C87D6" w14:textId="2B39674B">
      <w:pPr>
        <w:pStyle w:val="a5"/>
        <w:numPr>
          <w:ilvl w:val="1"/>
          <w:numId w:val="7"/>
        </w:numPr>
        <w:bidi w:val="0"/>
        <w:spacing w:before="0" w:beforeAutospacing="off" w:after="0" w:afterAutospacing="off" w:line="240" w:lineRule="auto"/>
        <w:ind w:left="1440" w:right="0" w:hanging="360"/>
        <w:jc w:val="both"/>
        <w:rPr>
          <w:rFonts w:asciiTheme="minorAscii" w:hAnsiTheme="minorAscii" w:eastAsiaTheme="minorAscii" w:cstheme="minorAscii"/>
          <w:sz w:val="24"/>
          <w:szCs w:val="24"/>
        </w:rPr>
      </w:pPr>
      <w:r w:rsidR="75F29742">
        <w:rPr/>
        <w:t>передбачає обов’язкове оформлення р</w:t>
      </w:r>
      <w:r w:rsidR="5D7BBB5F">
        <w:rPr/>
        <w:t>езультатів вказаних процедур у формі рішення розпорядника інформації;</w:t>
      </w:r>
    </w:p>
    <w:p w:rsidR="00C93CFC" w:rsidP="232CB676" w:rsidRDefault="000749A2" w14:paraId="5CB09327" w14:textId="2773456A">
      <w:pPr>
        <w:pStyle w:val="a5"/>
        <w:numPr>
          <w:ilvl w:val="1"/>
          <w:numId w:val="7"/>
        </w:numPr>
        <w:spacing w:before="0" w:beforeAutospacing="off" w:after="0" w:afterAutospacing="off" w:line="240" w:lineRule="auto"/>
        <w:ind w:left="1440" w:right="0" w:hanging="36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8C1DF17">
        <w:rPr/>
        <w:t>з</w:t>
      </w:r>
      <w:r w:rsidR="28D520A3">
        <w:rPr/>
        <w:t>мінює перелік дозволених форматів файлів</w:t>
      </w:r>
      <w:r w:rsidR="359BF97E">
        <w:rPr/>
        <w:t xml:space="preserve"> (залишаються лише структуровані та </w:t>
      </w:r>
      <w:proofErr w:type="spellStart"/>
      <w:r w:rsidR="359BF97E">
        <w:rPr/>
        <w:t>машиночитані</w:t>
      </w:r>
      <w:proofErr w:type="spellEnd"/>
      <w:r w:rsidR="359BF97E">
        <w:rPr/>
        <w:t xml:space="preserve"> формати)</w:t>
      </w:r>
      <w:r w:rsidR="28D520A3">
        <w:rPr/>
        <w:t xml:space="preserve"> для оприлюднення </w:t>
      </w:r>
      <w:r w:rsidR="21EF353C">
        <w:rPr/>
        <w:t xml:space="preserve">публічної інформації </w:t>
      </w:r>
      <w:r w:rsidR="28D520A3">
        <w:rPr/>
        <w:t xml:space="preserve">у </w:t>
      </w:r>
      <w:r w:rsidR="14C8E835">
        <w:rPr/>
        <w:t xml:space="preserve">формі </w:t>
      </w:r>
      <w:r w:rsidR="1842A1C2">
        <w:rPr/>
        <w:t>відкритих даних</w:t>
      </w:r>
      <w:r w:rsidR="6EA0085E">
        <w:rPr/>
        <w:t>;</w:t>
      </w:r>
    </w:p>
    <w:p w:rsidR="00C93CFC" w:rsidP="232CB676" w:rsidRDefault="000749A2" w14:paraId="1D3777D2" w14:textId="758E19F8">
      <w:pPr>
        <w:pStyle w:val="a5"/>
        <w:numPr>
          <w:ilvl w:val="1"/>
          <w:numId w:val="7"/>
        </w:numPr>
        <w:spacing w:before="0" w:beforeAutospacing="off" w:after="0" w:afterAutospacing="off" w:line="240" w:lineRule="auto"/>
        <w:ind w:left="1440" w:right="0" w:hanging="360"/>
        <w:jc w:val="both"/>
        <w:rPr>
          <w:rFonts w:asciiTheme="minorAscii" w:hAnsiTheme="minorAscii" w:eastAsiaTheme="minorAscii" w:cstheme="minorAscii"/>
          <w:sz w:val="24"/>
          <w:szCs w:val="24"/>
        </w:rPr>
      </w:pPr>
      <w:r w:rsidR="6EA0085E">
        <w:rPr/>
        <w:t>вводить термін “динамічні дані” та встановлює обов’язковість доступу до динамічних даних через АРІ;</w:t>
      </w:r>
    </w:p>
    <w:p w:rsidR="00C93CFC" w:rsidP="232CB676" w:rsidRDefault="000749A2" w14:paraId="5A280582" w14:textId="47A1C630">
      <w:pPr>
        <w:pStyle w:val="a5"/>
        <w:numPr>
          <w:ilvl w:val="1"/>
          <w:numId w:val="7"/>
        </w:numPr>
        <w:spacing w:before="0" w:beforeAutospacing="off" w:after="0" w:afterAutospacing="off" w:line="240" w:lineRule="auto"/>
        <w:ind w:left="1440" w:right="0" w:hanging="360"/>
        <w:jc w:val="both"/>
        <w:rPr>
          <w:rFonts w:asciiTheme="minorAscii" w:hAnsiTheme="minorAscii" w:eastAsiaTheme="minorAscii" w:cstheme="minorAscii"/>
          <w:sz w:val="24"/>
          <w:szCs w:val="24"/>
        </w:rPr>
      </w:pPr>
      <w:r w:rsidR="394A976A">
        <w:rPr/>
        <w:t xml:space="preserve">надає повноваження </w:t>
      </w:r>
      <w:proofErr w:type="spellStart"/>
      <w:r w:rsidR="394A976A">
        <w:rPr/>
        <w:t>Мінцифри</w:t>
      </w:r>
      <w:proofErr w:type="spellEnd"/>
      <w:r w:rsidR="394A976A">
        <w:rPr/>
        <w:t xml:space="preserve"> на встановлення стандартних вимог для оприлюднення однакових видів наборів даних різними розпорядниками інформації.</w:t>
      </w:r>
    </w:p>
    <w:p w:rsidR="00C93CFC" w:rsidP="00D42BB9" w:rsidRDefault="000749A2" w14:paraId="53FBE062" w14:textId="0267DD3F">
      <w:r w:rsidR="2E4D27F7">
        <w:rPr/>
        <w:t xml:space="preserve">Запропоновані положення спрямовані на </w:t>
      </w:r>
      <w:r w:rsidR="000749A2">
        <w:rPr/>
        <w:t xml:space="preserve">створення умов для </w:t>
      </w:r>
      <w:r w:rsidR="000749A2">
        <w:rPr/>
        <w:t xml:space="preserve">оприлюднення </w:t>
      </w:r>
      <w:r w:rsidR="007F015E">
        <w:rPr/>
        <w:t xml:space="preserve">якісної </w:t>
      </w:r>
      <w:r w:rsidR="0040381B">
        <w:rPr/>
        <w:t xml:space="preserve">публічної інформації у формі відкритих даних </w:t>
      </w:r>
      <w:r w:rsidR="000749A2">
        <w:rPr/>
        <w:t xml:space="preserve">та </w:t>
      </w:r>
      <w:r w:rsidR="007F015E">
        <w:rPr/>
        <w:t xml:space="preserve">сприяння розвитку </w:t>
      </w:r>
      <w:r w:rsidR="000749A2">
        <w:rPr/>
        <w:t>ринку повторного використання публічної інформації.</w:t>
      </w:r>
    </w:p>
    <w:p w:rsidR="0DED964F" w:rsidP="0DED964F" w:rsidRDefault="0DED964F" w14:paraId="70C4DFBC" w14:textId="564F64BE">
      <w:pPr>
        <w:pStyle w:val="a"/>
      </w:pPr>
    </w:p>
    <w:p w:rsidR="00D42BB9" w:rsidP="0DED964F" w:rsidRDefault="00DD284A" w14:paraId="794F8B07" w14:textId="6CDF687E">
      <w:pPr>
        <w:rPr>
          <w:b w:val="1"/>
          <w:bCs w:val="1"/>
        </w:rPr>
      </w:pPr>
      <w:bookmarkStart w:name="n1761" w:id="1"/>
      <w:bookmarkEnd w:id="1"/>
      <w:r w:rsidRPr="0DED964F" w:rsidR="00D42BB9">
        <w:rPr>
          <w:b w:val="1"/>
          <w:bCs w:val="1"/>
        </w:rPr>
        <w:t xml:space="preserve">2. </w:t>
      </w:r>
      <w:r w:rsidRPr="0DED964F" w:rsidR="0029241F">
        <w:rPr>
          <w:b w:val="1"/>
          <w:bCs w:val="1"/>
        </w:rPr>
        <w:t>В</w:t>
      </w:r>
      <w:r w:rsidRPr="0DED964F" w:rsidR="00D42BB9">
        <w:rPr>
          <w:b w:val="1"/>
          <w:bCs w:val="1"/>
        </w:rPr>
        <w:t>плив на ключові інтереси заінтересованих сторін:</w:t>
      </w:r>
    </w:p>
    <w:tbl>
      <w:tblPr>
        <w:tblStyle w:val="a8"/>
        <w:tblW w:w="15262" w:type="dxa"/>
        <w:tblLook w:val="04A0" w:firstRow="1" w:lastRow="0" w:firstColumn="1" w:lastColumn="0" w:noHBand="0" w:noVBand="1"/>
      </w:tblPr>
      <w:tblGrid>
        <w:gridCol w:w="1890"/>
        <w:gridCol w:w="2265"/>
        <w:gridCol w:w="2160"/>
        <w:gridCol w:w="2205"/>
        <w:gridCol w:w="6742"/>
      </w:tblGrid>
      <w:tr w:rsidR="00DD284A" w:rsidTr="0DED964F" w14:paraId="4B7E1A3C" w14:textId="6D2E45B4">
        <w:tc>
          <w:tcPr>
            <w:tcW w:w="1890" w:type="dxa"/>
            <w:vMerge w:val="restart"/>
            <w:tcMar/>
          </w:tcPr>
          <w:p w:rsidR="00DD284A" w:rsidP="595207AC" w:rsidRDefault="00DD284A" w14:paraId="020A1309" w14:textId="2E6A86DB">
            <w:pPr>
              <w:spacing w:before="200" w:beforeAutospacing="off"/>
              <w:ind w:firstLine="0"/>
              <w:jc w:val="center"/>
            </w:pPr>
            <w:r w:rsidR="00DD284A">
              <w:rPr/>
              <w:t xml:space="preserve"> </w:t>
            </w:r>
          </w:p>
          <w:p w:rsidR="00DD284A" w:rsidP="595207AC" w:rsidRDefault="00DD284A" w14:paraId="1D3AA1FB" w14:textId="74BD7AC7">
            <w:pPr>
              <w:spacing w:before="200" w:beforeAutospacing="off"/>
              <w:ind w:firstLine="0"/>
              <w:jc w:val="center"/>
            </w:pPr>
          </w:p>
          <w:p w:rsidR="00DD284A" w:rsidP="595207AC" w:rsidRDefault="00DD284A" w14:paraId="3236076C" w14:textId="011180C0">
            <w:pPr>
              <w:spacing w:before="200" w:beforeAutospacing="off"/>
              <w:ind w:firstLine="0"/>
              <w:jc w:val="center"/>
            </w:pPr>
            <w:r w:rsidR="3201AB86">
              <w:rPr/>
              <w:t>Заінтересована</w:t>
            </w:r>
          </w:p>
          <w:p w:rsidR="00DD284A" w:rsidP="595207AC" w:rsidRDefault="00DD284A" w14:paraId="2F20B50E" w14:textId="2F99FFDC">
            <w:pPr>
              <w:spacing w:before="200" w:beforeAutospacing="off"/>
              <w:ind w:firstLine="0"/>
              <w:jc w:val="center"/>
            </w:pPr>
            <w:r w:rsidR="00DD284A">
              <w:rPr/>
              <w:t>сторона</w:t>
            </w:r>
          </w:p>
        </w:tc>
        <w:tc>
          <w:tcPr>
            <w:tcW w:w="2265" w:type="dxa"/>
            <w:vMerge w:val="restart"/>
            <w:tcMar/>
          </w:tcPr>
          <w:p w:rsidR="595207AC" w:rsidP="595207AC" w:rsidRDefault="595207AC" w14:paraId="76C2A233" w14:textId="2DD3DCA9">
            <w:pPr>
              <w:spacing w:before="200" w:beforeAutospacing="off"/>
              <w:ind w:firstLine="0"/>
              <w:jc w:val="center"/>
            </w:pPr>
          </w:p>
          <w:p w:rsidR="595207AC" w:rsidP="595207AC" w:rsidRDefault="595207AC" w14:paraId="7CEB8EFB" w14:textId="7F0A569F">
            <w:pPr>
              <w:spacing w:before="200" w:beforeAutospacing="off"/>
              <w:ind w:firstLine="0"/>
              <w:jc w:val="center"/>
            </w:pPr>
          </w:p>
          <w:p w:rsidR="00DD284A" w:rsidP="595207AC" w:rsidRDefault="00DD284A" w14:paraId="14CEA937" w14:textId="1883B959" w14:noSpellErr="1">
            <w:pPr>
              <w:spacing w:before="200" w:beforeAutospacing="off"/>
              <w:ind w:firstLine="0"/>
              <w:jc w:val="center"/>
            </w:pPr>
            <w:r w:rsidR="00DD284A">
              <w:rPr/>
              <w:t>Ключовий інтерес</w:t>
            </w:r>
          </w:p>
        </w:tc>
        <w:tc>
          <w:tcPr>
            <w:tcW w:w="4365" w:type="dxa"/>
            <w:gridSpan w:val="2"/>
            <w:tcMar/>
          </w:tcPr>
          <w:p w:rsidR="00DD284A" w:rsidP="595207AC" w:rsidRDefault="00DD284A" w14:paraId="0C73A498" w14:textId="441D0CCC">
            <w:pPr>
              <w:spacing w:before="200" w:beforeAutospacing="off"/>
              <w:ind w:firstLine="0"/>
              <w:jc w:val="center"/>
            </w:pPr>
            <w:r w:rsidR="00DD284A">
              <w:rPr/>
              <w:t>Очікуваний (позитивний чи негативний) вплив на ключовий інтерес із зазначенням передбачуваної динаміки змін основних показників</w:t>
            </w:r>
            <w:r>
              <w:br/>
            </w:r>
            <w:r w:rsidR="00DD284A">
              <w:rPr/>
              <w:t>(у числовому або якісному вимірі)</w:t>
            </w:r>
          </w:p>
        </w:tc>
        <w:tc>
          <w:tcPr>
            <w:tcW w:w="6742" w:type="dxa"/>
            <w:vMerge w:val="restart"/>
            <w:tcMar/>
          </w:tcPr>
          <w:p w:rsidR="595207AC" w:rsidP="595207AC" w:rsidRDefault="595207AC" w14:paraId="25D037D1" w14:textId="182B37F8">
            <w:pPr>
              <w:spacing w:before="200" w:beforeAutospacing="off"/>
              <w:ind w:firstLine="0"/>
              <w:jc w:val="center"/>
            </w:pPr>
          </w:p>
          <w:p w:rsidR="595207AC" w:rsidP="595207AC" w:rsidRDefault="595207AC" w14:paraId="61DB2699" w14:textId="506A1882">
            <w:pPr>
              <w:spacing w:before="200" w:beforeAutospacing="off"/>
              <w:ind w:firstLine="0"/>
              <w:jc w:val="center"/>
            </w:pPr>
          </w:p>
          <w:p w:rsidRPr="00D42BB9" w:rsidR="00DD284A" w:rsidP="595207AC" w:rsidRDefault="00DD284A" w14:paraId="15F1ADD0" w14:textId="245EA7EA">
            <w:pPr>
              <w:spacing w:before="200" w:beforeAutospacing="off"/>
              <w:ind w:firstLine="0"/>
              <w:jc w:val="center"/>
            </w:pPr>
            <w:r w:rsidR="00DD284A">
              <w:rPr/>
              <w:t xml:space="preserve">Пояснення (чому саме реалізація </w:t>
            </w:r>
            <w:proofErr w:type="spellStart"/>
            <w:r w:rsidR="00DD284A">
              <w:rPr/>
              <w:t>акта</w:t>
            </w:r>
            <w:proofErr w:type="spellEnd"/>
            <w:r w:rsidR="00DD284A">
              <w:rPr/>
              <w:t xml:space="preserve"> призведе </w:t>
            </w:r>
          </w:p>
          <w:p w:rsidRPr="00D42BB9" w:rsidR="00DD284A" w:rsidP="595207AC" w:rsidRDefault="00DD284A" w14:paraId="2334EC53" w14:textId="4567B723">
            <w:pPr>
              <w:spacing w:before="200" w:beforeAutospacing="off"/>
              <w:ind w:firstLine="0"/>
              <w:jc w:val="center"/>
            </w:pPr>
            <w:r w:rsidR="00DD284A">
              <w:rPr/>
              <w:t>до очікуваного впливу)</w:t>
            </w:r>
          </w:p>
        </w:tc>
      </w:tr>
      <w:tr w:rsidR="00DD284A" w:rsidTr="0DED964F" w14:paraId="10604721" w14:textId="405AEF37">
        <w:tc>
          <w:tcPr>
            <w:tcW w:w="1890" w:type="dxa"/>
            <w:vMerge/>
            <w:tcMar/>
          </w:tcPr>
          <w:p w:rsidR="00DD284A" w:rsidP="00DD284A" w:rsidRDefault="00DD284A" w14:paraId="3FC1406C" w14:textId="77777777">
            <w:pPr>
              <w:ind w:firstLine="0"/>
            </w:pPr>
          </w:p>
        </w:tc>
        <w:tc>
          <w:tcPr>
            <w:tcW w:w="2265" w:type="dxa"/>
            <w:vMerge/>
            <w:tcMar/>
          </w:tcPr>
          <w:p w:rsidR="00DD284A" w:rsidP="0029241F" w:rsidRDefault="00DD284A" w14:paraId="73D133CA" w14:textId="77777777">
            <w:pPr>
              <w:ind w:firstLine="0"/>
            </w:pPr>
          </w:p>
        </w:tc>
        <w:tc>
          <w:tcPr>
            <w:tcW w:w="2160" w:type="dxa"/>
            <w:tcMar/>
          </w:tcPr>
          <w:p w:rsidR="00DD284A" w:rsidP="595207AC" w:rsidRDefault="00DD284A" w14:paraId="3BBCD44E" w14:textId="5F263D54" w14:noSpellErr="1">
            <w:pPr>
              <w:spacing w:before="200" w:beforeAutospacing="off"/>
              <w:ind w:firstLine="0"/>
              <w:jc w:val="center"/>
            </w:pPr>
            <w:r w:rsidR="00DD284A">
              <w:rPr/>
              <w:t>короткостроковий вплив</w:t>
            </w:r>
          </w:p>
        </w:tc>
        <w:tc>
          <w:tcPr>
            <w:tcW w:w="2205" w:type="dxa"/>
            <w:tcMar/>
          </w:tcPr>
          <w:p w:rsidR="00DD284A" w:rsidP="595207AC" w:rsidRDefault="00DD284A" w14:paraId="56297AFE" w14:textId="77D17D26">
            <w:pPr>
              <w:spacing w:before="200" w:beforeAutospacing="off"/>
              <w:ind w:firstLine="0"/>
              <w:jc w:val="center"/>
            </w:pPr>
            <w:r w:rsidR="00DD284A">
              <w:rPr/>
              <w:t>середньостроковий вплив</w:t>
            </w:r>
          </w:p>
        </w:tc>
        <w:tc>
          <w:tcPr>
            <w:tcW w:w="6742" w:type="dxa"/>
            <w:vMerge/>
            <w:tcMar/>
          </w:tcPr>
          <w:p w:rsidRPr="00D42BB9" w:rsidR="00DD284A" w:rsidP="00DD284A" w:rsidRDefault="00DD284A" w14:paraId="7B97DA42" w14:textId="77777777">
            <w:pPr>
              <w:ind w:firstLine="0"/>
            </w:pPr>
          </w:p>
        </w:tc>
      </w:tr>
      <w:tr w:rsidR="00DD284A" w:rsidTr="0DED964F" w14:paraId="5A40A5FD" w14:textId="79D084C2">
        <w:tc>
          <w:tcPr>
            <w:tcW w:w="1890" w:type="dxa"/>
            <w:tcMar/>
          </w:tcPr>
          <w:p w:rsidR="00DD284A" w:rsidP="00816009" w:rsidRDefault="00EA1910" w14:paraId="547597F5" w14:textId="70EA54CC">
            <w:pPr>
              <w:ind w:firstLine="0"/>
              <w:jc w:val="center"/>
            </w:pPr>
            <w:r w:rsidR="00EA1910">
              <w:rPr/>
              <w:t>Розпорядники</w:t>
            </w:r>
            <w:r w:rsidR="1048291E">
              <w:rPr/>
              <w:t xml:space="preserve"> </w:t>
            </w:r>
          </w:p>
          <w:p w:rsidR="00DD284A" w:rsidP="00816009" w:rsidRDefault="00EA1910" w14:paraId="25F21553" w14:textId="42967D83">
            <w:pPr>
              <w:ind w:firstLine="0"/>
              <w:jc w:val="center"/>
            </w:pPr>
            <w:r w:rsidR="1048291E">
              <w:rPr/>
              <w:t>інформації</w:t>
            </w:r>
          </w:p>
          <w:p w:rsidR="000700D1" w:rsidP="00816009" w:rsidRDefault="000700D1" w14:paraId="608E9941" w14:textId="7168E95F">
            <w:pPr>
              <w:ind w:firstLine="0"/>
              <w:jc w:val="center"/>
            </w:pPr>
          </w:p>
          <w:p w:rsidRPr="000700D1" w:rsidR="000700D1" w:rsidP="000700D1" w:rsidRDefault="000700D1" w14:paraId="31889355" w14:textId="2B214D41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DED964F" w:rsidR="2EDAEDA8">
              <w:rPr>
                <w:i w:val="1"/>
                <w:iCs w:val="1"/>
                <w:sz w:val="20"/>
                <w:szCs w:val="20"/>
              </w:rPr>
              <w:t xml:space="preserve">Створюють, збирають і обробляють інформацію </w:t>
            </w:r>
          </w:p>
          <w:p w:rsidR="000700D1" w:rsidP="0DED964F" w:rsidRDefault="000700D1" w14:paraId="685237AC" w14:textId="398B3D39">
            <w:pPr>
              <w:ind w:firstLine="0"/>
              <w:jc w:val="center"/>
              <w:rPr>
                <w:i w:val="1"/>
                <w:iCs w:val="1"/>
                <w:sz w:val="20"/>
                <w:szCs w:val="20"/>
              </w:rPr>
            </w:pPr>
            <w:r w:rsidRPr="0DED964F" w:rsidR="2EDAEDA8">
              <w:rPr>
                <w:i w:val="1"/>
                <w:iCs w:val="1"/>
                <w:sz w:val="20"/>
                <w:szCs w:val="20"/>
              </w:rPr>
              <w:t>Оприлюднюють її у вигляді відкритих даних</w:t>
            </w:r>
          </w:p>
        </w:tc>
        <w:tc>
          <w:tcPr>
            <w:tcW w:w="2265" w:type="dxa"/>
            <w:tcMar/>
          </w:tcPr>
          <w:p w:rsidRPr="00EA1910" w:rsidR="00EA1910" w:rsidP="595207AC" w:rsidRDefault="00EA1910" w14:paraId="35270D2E" w14:textId="52A518D2">
            <w:pPr>
              <w:tabs>
                <w:tab w:val="clear" w:pos="720"/>
                <w:tab w:val="num" w:pos="127"/>
              </w:tabs>
              <w:ind w:left="-79" w:firstLine="0"/>
              <w:jc w:val="center"/>
            </w:pPr>
            <w:r w:rsidR="00EA1910">
              <w:rPr/>
              <w:t>Підвищити довіру громадськості до своїх дій</w:t>
            </w:r>
          </w:p>
          <w:p w:rsidR="00DD284A" w:rsidP="0029241F" w:rsidRDefault="00DD284A" w14:paraId="352EAAC2" w14:textId="77777777">
            <w:pPr>
              <w:tabs>
                <w:tab w:val="num" w:pos="127"/>
              </w:tabs>
              <w:ind w:left="41" w:hanging="60"/>
            </w:pPr>
          </w:p>
        </w:tc>
        <w:tc>
          <w:tcPr>
            <w:tcW w:w="2160" w:type="dxa"/>
            <w:tcMar/>
          </w:tcPr>
          <w:p w:rsidR="00DD284A" w:rsidP="595207AC" w:rsidRDefault="00DD284A" w14:paraId="7E16AFC3" w14:textId="049FFC5B">
            <w:pPr>
              <w:ind w:firstLine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95207AC" w:rsidR="3CF0097E">
              <w:rPr>
                <w:rFonts w:ascii="Calibri" w:hAnsi="Calibri" w:eastAsia="Calibri" w:cs="Calibri" w:asciiTheme="minorAscii" w:hAnsiTheme="minorAscii" w:eastAsiaTheme="minorAscii" w:cstheme="minorAscii"/>
              </w:rPr>
              <w:t>нейтральний</w:t>
            </w:r>
          </w:p>
          <w:p w:rsidR="00DD284A" w:rsidP="595207AC" w:rsidRDefault="00DD284A" w14:paraId="5A59B62F" w14:textId="325F43E8">
            <w:pPr>
              <w:pStyle w:val="a"/>
              <w:ind w:firstLine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2205" w:type="dxa"/>
            <w:tcMar/>
          </w:tcPr>
          <w:p w:rsidR="00DD284A" w:rsidP="595207AC" w:rsidRDefault="00DD284A" w14:paraId="18CE0017" w14:textId="56140E50">
            <w:pPr>
              <w:ind w:firstLine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95207AC" w:rsidR="032AAEC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позитивний </w:t>
            </w:r>
          </w:p>
          <w:p w:rsidR="00DD284A" w:rsidP="595207AC" w:rsidRDefault="00DD284A" w14:paraId="5313C00C" w14:textId="7CF54387">
            <w:pPr>
              <w:pStyle w:val="a"/>
              <w:ind w:firstLine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00DD284A" w:rsidP="595207AC" w:rsidRDefault="00DD284A" w14:paraId="3EAEFD85" w14:textId="56FB37C1">
            <w:pPr>
              <w:pStyle w:val="a"/>
              <w:ind w:firstLine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6742" w:type="dxa"/>
            <w:tcMar/>
          </w:tcPr>
          <w:p w:rsidR="00DD284A" w:rsidP="595207AC" w:rsidRDefault="00DD284A" w14:paraId="59E921AA" w14:textId="11887295">
            <w:pPr>
              <w:pStyle w:val="a"/>
              <w:ind w:firstLine="708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95207AC" w:rsidR="02629EC5">
              <w:rPr>
                <w:rFonts w:ascii="Calibri" w:hAnsi="Calibri" w:eastAsia="Calibri" w:cs="Calibri" w:asciiTheme="minorAscii" w:hAnsiTheme="minorAscii" w:eastAsiaTheme="minorAscii" w:cstheme="minorAscii"/>
              </w:rPr>
              <w:t>Необхідність суттєвих змін бізнес-процесів розпорядників інформації не дозволить отримати позитивні результати в короткостроковій перспективі</w:t>
            </w:r>
            <w:r w:rsidRPr="595207AC" w:rsidR="2B5B9619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  <w:p w:rsidR="00DD284A" w:rsidP="595207AC" w:rsidRDefault="00DD284A" w14:paraId="0FF90FD7" w14:textId="4C13CD75">
            <w:pPr>
              <w:pStyle w:val="a"/>
              <w:ind w:firstLine="708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00DD284A" w:rsidP="0DED964F" w:rsidRDefault="00DD284A" w14:paraId="4F81FF7C" w14:textId="712970FE">
            <w:pPr>
              <w:pStyle w:val="a"/>
              <w:ind w:firstLine="708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DED964F" w:rsidR="06CBF0B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Проект </w:t>
            </w:r>
            <w:proofErr w:type="spellStart"/>
            <w:r w:rsidRPr="0DED964F" w:rsidR="06CBF0B7">
              <w:rPr>
                <w:rFonts w:ascii="Calibri" w:hAnsi="Calibri" w:eastAsia="Calibri" w:cs="Calibri" w:asciiTheme="minorAscii" w:hAnsiTheme="minorAscii" w:eastAsiaTheme="minorAscii" w:cstheme="minorAscii"/>
              </w:rPr>
              <w:t>акта</w:t>
            </w:r>
            <w:proofErr w:type="spellEnd"/>
            <w:r w:rsidRPr="0DED964F" w:rsidR="06CBF0B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передбачає збільшення обсягу </w:t>
            </w:r>
            <w:proofErr w:type="spellStart"/>
            <w:r w:rsidRPr="0DED964F" w:rsidR="06CBF0B7">
              <w:rPr>
                <w:rFonts w:ascii="Calibri" w:hAnsi="Calibri" w:eastAsia="Calibri" w:cs="Calibri" w:asciiTheme="minorAscii" w:hAnsiTheme="minorAscii" w:eastAsiaTheme="minorAscii" w:cstheme="minorAscii"/>
              </w:rPr>
              <w:t>п</w:t>
            </w:r>
            <w:r w:rsidRPr="0DED964F" w:rsidR="6F3A5A79">
              <w:rPr>
                <w:rFonts w:ascii="Calibri" w:hAnsi="Calibri" w:eastAsia="Calibri" w:cs="Calibri" w:asciiTheme="minorAscii" w:hAnsiTheme="minorAscii" w:eastAsiaTheme="minorAscii" w:cstheme="minorAscii"/>
              </w:rPr>
              <w:t>роактивн</w:t>
            </w:r>
            <w:r w:rsidRPr="0DED964F" w:rsidR="7E783259">
              <w:rPr>
                <w:rFonts w:ascii="Calibri" w:hAnsi="Calibri" w:eastAsia="Calibri" w:cs="Calibri" w:asciiTheme="minorAscii" w:hAnsiTheme="minorAscii" w:eastAsiaTheme="minorAscii" w:cstheme="minorAscii"/>
              </w:rPr>
              <w:t>о</w:t>
            </w:r>
            <w:proofErr w:type="spellEnd"/>
            <w:r w:rsidRPr="0DED964F" w:rsidR="6F3A5A7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оприлюдне</w:t>
            </w:r>
            <w:r w:rsidRPr="0DED964F" w:rsidR="29ADFC55">
              <w:rPr>
                <w:rFonts w:ascii="Calibri" w:hAnsi="Calibri" w:eastAsia="Calibri" w:cs="Calibri" w:asciiTheme="minorAscii" w:hAnsiTheme="minorAscii" w:eastAsiaTheme="minorAscii" w:cstheme="minorAscii"/>
              </w:rPr>
              <w:t>ної інформації</w:t>
            </w:r>
            <w:r w:rsidRPr="0DED964F" w:rsidR="6F3A5A7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про діяльність розпорядник</w:t>
            </w:r>
            <w:r w:rsidRPr="0DED964F" w:rsidR="2193B176">
              <w:rPr>
                <w:rFonts w:ascii="Calibri" w:hAnsi="Calibri" w:eastAsia="Calibri" w:cs="Calibri" w:asciiTheme="minorAscii" w:hAnsiTheme="minorAscii" w:eastAsiaTheme="minorAscii" w:cstheme="minorAscii"/>
              </w:rPr>
              <w:t>ів</w:t>
            </w:r>
            <w:r w:rsidRPr="0DED964F" w:rsidR="6F3A5A7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інформації</w:t>
            </w:r>
            <w:r w:rsidRPr="0DED964F" w:rsidR="6D8F3B36">
              <w:rPr>
                <w:rFonts w:ascii="Calibri" w:hAnsi="Calibri" w:eastAsia="Calibri" w:cs="Calibri" w:asciiTheme="minorAscii" w:hAnsiTheme="minorAscii" w:eastAsiaTheme="minorAscii" w:cstheme="minorAscii"/>
              </w:rPr>
              <w:t>, що</w:t>
            </w:r>
            <w:r w:rsidRPr="0DED964F" w:rsidR="6F3A5A7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покращить розуміння суспільством прийнятих рішень</w:t>
            </w:r>
            <w:r w:rsidRPr="0DED964F" w:rsidR="03FABBF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та </w:t>
            </w:r>
            <w:r w:rsidRPr="0DED964F" w:rsidR="6F3A5A79">
              <w:rPr>
                <w:rFonts w:ascii="Calibri" w:hAnsi="Calibri" w:eastAsia="Calibri" w:cs="Calibri" w:asciiTheme="minorAscii" w:hAnsiTheme="minorAscii" w:eastAsiaTheme="minorAscii" w:cstheme="minorAscii"/>
              </w:rPr>
              <w:t>сприятиме підвищенню рівня довіри до розпорядник</w:t>
            </w:r>
            <w:r w:rsidRPr="0DED964F" w:rsidR="21D5AD39">
              <w:rPr>
                <w:rFonts w:ascii="Calibri" w:hAnsi="Calibri" w:eastAsia="Calibri" w:cs="Calibri" w:asciiTheme="minorAscii" w:hAnsiTheme="minorAscii" w:eastAsiaTheme="minorAscii" w:cstheme="minorAscii"/>
              </w:rPr>
              <w:t>ів</w:t>
            </w:r>
            <w:r w:rsidRPr="0DED964F" w:rsidR="6F3A5A7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інформації</w:t>
            </w:r>
            <w:r w:rsidRPr="0DED964F" w:rsidR="0D15CDAF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</w:tc>
      </w:tr>
      <w:tr w:rsidR="00EA1910" w:rsidTr="0DED964F" w14:paraId="5B0465FA" w14:textId="49331F5F">
        <w:tc>
          <w:tcPr>
            <w:tcW w:w="1890" w:type="dxa"/>
            <w:tcMar/>
          </w:tcPr>
          <w:p w:rsidR="00EA1910" w:rsidP="00816009" w:rsidRDefault="00EA1910" w14:paraId="315E4FF5" w14:textId="77777777">
            <w:pPr>
              <w:ind w:firstLine="0"/>
              <w:jc w:val="center"/>
            </w:pPr>
            <w:r w:rsidRPr="00DD284A">
              <w:t>Адміністратори</w:t>
            </w:r>
          </w:p>
          <w:p w:rsidR="000700D1" w:rsidP="00816009" w:rsidRDefault="000700D1" w14:paraId="281F12FC" w14:textId="77777777">
            <w:pPr>
              <w:ind w:firstLine="0"/>
              <w:jc w:val="center"/>
            </w:pPr>
          </w:p>
          <w:p w:rsidRPr="000700D1" w:rsidR="000700D1" w:rsidP="0DED964F" w:rsidRDefault="000700D1" w14:paraId="7D2CD078" w14:textId="4902BA4B">
            <w:pPr>
              <w:ind w:firstLine="0"/>
              <w:jc w:val="center"/>
              <w:rPr>
                <w:i w:val="1"/>
                <w:iCs w:val="1"/>
                <w:sz w:val="20"/>
                <w:szCs w:val="20"/>
              </w:rPr>
            </w:pPr>
            <w:r w:rsidRPr="0DED964F" w:rsidR="2EDAEDA8">
              <w:rPr>
                <w:i w:val="1"/>
                <w:iCs w:val="1"/>
                <w:sz w:val="20"/>
                <w:szCs w:val="20"/>
              </w:rPr>
              <w:t>За дорученням Розпорядників зберігають, обробляють та оприлюднюють інформацію, що знаходиться у Розпорядників</w:t>
            </w:r>
          </w:p>
        </w:tc>
        <w:tc>
          <w:tcPr>
            <w:tcW w:w="2265" w:type="dxa"/>
            <w:tcMar/>
          </w:tcPr>
          <w:p w:rsidR="00EA1910" w:rsidP="595207AC" w:rsidRDefault="00EA1910" w14:paraId="3B468B92" w14:textId="4C48AA23">
            <w:pPr>
              <w:tabs>
                <w:tab w:val="clear" w:pos="720"/>
                <w:tab w:val="num" w:pos="127"/>
              </w:tabs>
              <w:ind w:left="-79" w:firstLine="0"/>
              <w:jc w:val="center"/>
            </w:pPr>
            <w:r w:rsidR="00EA1910">
              <w:rPr/>
              <w:t>Отримувати вигоду від обробки та розповсюдження інформації</w:t>
            </w:r>
          </w:p>
        </w:tc>
        <w:tc>
          <w:tcPr>
            <w:tcW w:w="2160" w:type="dxa"/>
            <w:tcMar/>
          </w:tcPr>
          <w:p w:rsidR="00EA1910" w:rsidP="595207AC" w:rsidRDefault="00EA1910" w14:paraId="55380D39" w14:textId="5FA48C7E">
            <w:pPr>
              <w:ind w:firstLine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95207AC" w:rsidR="046E3CD2">
              <w:rPr>
                <w:rFonts w:ascii="Calibri" w:hAnsi="Calibri" w:eastAsia="Calibri" w:cs="Calibri" w:asciiTheme="minorAscii" w:hAnsiTheme="minorAscii" w:eastAsiaTheme="minorAscii" w:cstheme="minorAscii"/>
              </w:rPr>
              <w:t>нейтральний</w:t>
            </w:r>
          </w:p>
          <w:p w:rsidR="00EA1910" w:rsidP="595207AC" w:rsidRDefault="00EA1910" w14:paraId="2ECA57DD" w14:textId="57EE2CB0">
            <w:pPr>
              <w:pStyle w:val="a"/>
              <w:ind w:firstLine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00EA1910" w:rsidP="595207AC" w:rsidRDefault="00EA1910" w14:paraId="1C65432C" w14:textId="39061EF3">
            <w:pPr>
              <w:pStyle w:val="a"/>
              <w:ind w:firstLine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2205" w:type="dxa"/>
            <w:tcMar/>
          </w:tcPr>
          <w:p w:rsidR="00EA1910" w:rsidP="595207AC" w:rsidRDefault="00EA1910" w14:paraId="49D0EE61" w14:textId="5FA48C7E">
            <w:pPr>
              <w:ind w:firstLine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95207AC" w:rsidR="095FE41A">
              <w:rPr>
                <w:rFonts w:ascii="Calibri" w:hAnsi="Calibri" w:eastAsia="Calibri" w:cs="Calibri" w:asciiTheme="minorAscii" w:hAnsiTheme="minorAscii" w:eastAsiaTheme="minorAscii" w:cstheme="minorAscii"/>
              </w:rPr>
              <w:t>нейтральний</w:t>
            </w:r>
          </w:p>
          <w:p w:rsidR="00EA1910" w:rsidP="595207AC" w:rsidRDefault="00EA1910" w14:paraId="0AFD3EFE" w14:textId="57EE2CB0">
            <w:pPr>
              <w:pStyle w:val="a"/>
              <w:ind w:firstLine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00EA1910" w:rsidP="595207AC" w:rsidRDefault="00EA1910" w14:paraId="73CEAE5F" w14:textId="12475A8B">
            <w:pPr>
              <w:pStyle w:val="a"/>
              <w:ind w:firstLine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6742" w:type="dxa"/>
            <w:tcMar/>
          </w:tcPr>
          <w:p w:rsidR="00EA1910" w:rsidP="595207AC" w:rsidRDefault="00EA1910" w14:paraId="2CAE2F1E" w14:textId="7CA8C628">
            <w:pPr>
              <w:pStyle w:val="a"/>
              <w:ind w:firstLine="708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95207AC" w:rsidR="344761E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Для зміни системи відносин між адміністраторами та розпорядниками інформації щодо </w:t>
            </w:r>
            <w:proofErr w:type="spellStart"/>
            <w:r w:rsidRPr="595207AC" w:rsidR="344761E3">
              <w:rPr>
                <w:rFonts w:ascii="Calibri" w:hAnsi="Calibri" w:eastAsia="Calibri" w:cs="Calibri" w:asciiTheme="minorAscii" w:hAnsiTheme="minorAscii" w:eastAsiaTheme="minorAscii" w:cstheme="minorAscii"/>
              </w:rPr>
              <w:t>проактивного</w:t>
            </w:r>
            <w:proofErr w:type="spellEnd"/>
            <w:r w:rsidRPr="595207AC" w:rsidR="344761E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оприлюднення інформації необхідні зміни регулювання на рівні закону</w:t>
            </w:r>
            <w:r w:rsidRPr="595207AC" w:rsidR="0176444E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  <w:p w:rsidR="00EA1910" w:rsidP="595207AC" w:rsidRDefault="00EA1910" w14:paraId="7167EB61" w14:textId="72648561">
            <w:pPr>
              <w:pStyle w:val="a"/>
              <w:ind w:firstLine="708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00EA1910" w:rsidP="595207AC" w:rsidRDefault="00EA1910" w14:paraId="54D9DAD5" w14:textId="659CAB30">
            <w:pPr>
              <w:pStyle w:val="a"/>
              <w:ind w:firstLine="708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00EA1910" w:rsidP="595207AC" w:rsidRDefault="00EA1910" w14:paraId="49476BDC" w14:textId="775286AF">
            <w:pPr>
              <w:pStyle w:val="a"/>
              <w:ind w:firstLine="708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0029241F" w:rsidTr="0DED964F" w14:paraId="46D2F5D9" w14:textId="5401A36C">
        <w:tc>
          <w:tcPr>
            <w:tcW w:w="1890" w:type="dxa"/>
            <w:tcMar/>
          </w:tcPr>
          <w:p w:rsidR="0029241F" w:rsidP="00816009" w:rsidRDefault="0029241F" w14:paraId="215AAA84" w14:textId="77777777">
            <w:pPr>
              <w:ind w:firstLine="0"/>
              <w:jc w:val="center"/>
            </w:pPr>
            <w:r w:rsidRPr="00DD284A">
              <w:t>Сервіси на основі відкритих даних</w:t>
            </w:r>
          </w:p>
          <w:p w:rsidR="000700D1" w:rsidP="00816009" w:rsidRDefault="000700D1" w14:paraId="3FB7C14B" w14:textId="77777777">
            <w:pPr>
              <w:ind w:firstLine="0"/>
              <w:jc w:val="center"/>
            </w:pPr>
          </w:p>
          <w:p w:rsidR="000700D1" w:rsidP="0DED964F" w:rsidRDefault="000700D1" w14:paraId="52C8FE36" w14:textId="5C413775">
            <w:pPr>
              <w:ind w:firstLine="0"/>
              <w:jc w:val="center"/>
              <w:rPr>
                <w:i w:val="1"/>
                <w:iCs w:val="1"/>
                <w:sz w:val="20"/>
                <w:szCs w:val="20"/>
              </w:rPr>
            </w:pPr>
            <w:proofErr w:type="spellStart"/>
            <w:r w:rsidRPr="0DED964F" w:rsidR="2EDAEDA8">
              <w:rPr>
                <w:i w:val="1"/>
                <w:iCs w:val="1"/>
                <w:sz w:val="20"/>
                <w:szCs w:val="20"/>
              </w:rPr>
              <w:t>Агрегують</w:t>
            </w:r>
            <w:proofErr w:type="spellEnd"/>
            <w:r w:rsidRPr="0DED964F" w:rsidR="2EDAEDA8">
              <w:rPr>
                <w:i w:val="1"/>
                <w:iCs w:val="1"/>
                <w:sz w:val="20"/>
                <w:szCs w:val="20"/>
              </w:rPr>
              <w:t xml:space="preserve">, аналізують, поєднують інформацію у формі відкритих даних, створюють продукти для </w:t>
            </w:r>
            <w:r w:rsidRPr="0DED964F" w:rsidR="2EDAEDA8">
              <w:rPr>
                <w:i w:val="1"/>
                <w:iCs w:val="1"/>
                <w:sz w:val="20"/>
                <w:szCs w:val="20"/>
              </w:rPr>
              <w:t>кінцевих споживачів</w:t>
            </w:r>
          </w:p>
        </w:tc>
        <w:tc>
          <w:tcPr>
            <w:tcW w:w="2265" w:type="dxa"/>
            <w:tcMar/>
          </w:tcPr>
          <w:p w:rsidRPr="00DD284A" w:rsidR="0029241F" w:rsidP="595207AC" w:rsidRDefault="0029241F" w14:paraId="48A3A2DE" w14:textId="48B92342">
            <w:pPr>
              <w:tabs>
                <w:tab w:val="clear" w:pos="720"/>
                <w:tab w:val="num" w:pos="127"/>
              </w:tabs>
              <w:ind w:left="-79" w:firstLine="0"/>
              <w:jc w:val="center"/>
            </w:pPr>
            <w:r w:rsidR="0029241F">
              <w:rPr/>
              <w:t>Отримувати якісну інформацію в зручному для обробки форматі</w:t>
            </w:r>
          </w:p>
          <w:p w:rsidR="595207AC" w:rsidP="595207AC" w:rsidRDefault="595207AC" w14:paraId="52B7CF81" w14:textId="2AA06897">
            <w:pPr>
              <w:pStyle w:val="a"/>
              <w:ind w:left="-79" w:firstLine="0"/>
            </w:pPr>
          </w:p>
          <w:p w:rsidR="0029241F" w:rsidP="595207AC" w:rsidRDefault="0029241F" w14:paraId="750CE8D1" w14:textId="34F3D4CC">
            <w:pPr>
              <w:tabs>
                <w:tab w:val="clear" w:pos="720"/>
                <w:tab w:val="num" w:pos="127"/>
              </w:tabs>
              <w:ind w:left="-79" w:firstLine="0"/>
              <w:jc w:val="center"/>
            </w:pPr>
            <w:r w:rsidR="0029241F">
              <w:rPr/>
              <w:t>Отримувати прибуток від продажу послуг з доданою вартістю</w:t>
            </w:r>
            <w:r w:rsidR="0029241F">
              <w:rPr/>
              <w:t> </w:t>
            </w:r>
          </w:p>
          <w:p w:rsidR="0029241F" w:rsidP="595207AC" w:rsidRDefault="0029241F" w14:paraId="03CD4805" w14:textId="05DF4AFA">
            <w:pPr>
              <w:pStyle w:val="a"/>
              <w:tabs>
                <w:tab w:val="clear" w:pos="720"/>
                <w:tab w:val="num" w:pos="127"/>
              </w:tabs>
              <w:ind w:left="-19" w:hanging="60"/>
            </w:pPr>
          </w:p>
        </w:tc>
        <w:tc>
          <w:tcPr>
            <w:tcW w:w="2160" w:type="dxa"/>
            <w:tcMar/>
          </w:tcPr>
          <w:p w:rsidR="0029241F" w:rsidP="595207AC" w:rsidRDefault="0029241F" w14:paraId="291A93EE" w14:textId="049FFC5B">
            <w:pPr>
              <w:ind w:firstLine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95207AC" w:rsidR="4BF97D17">
              <w:rPr>
                <w:rFonts w:ascii="Calibri" w:hAnsi="Calibri" w:eastAsia="Calibri" w:cs="Calibri" w:asciiTheme="minorAscii" w:hAnsiTheme="minorAscii" w:eastAsiaTheme="minorAscii" w:cstheme="minorAscii"/>
              </w:rPr>
              <w:t>нейтральний</w:t>
            </w:r>
          </w:p>
          <w:p w:rsidR="0029241F" w:rsidP="595207AC" w:rsidRDefault="0029241F" w14:paraId="75509898" w14:textId="122C083B">
            <w:pPr>
              <w:pStyle w:val="a"/>
              <w:ind w:firstLine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2205" w:type="dxa"/>
            <w:tcMar/>
          </w:tcPr>
          <w:p w:rsidR="0029241F" w:rsidP="595207AC" w:rsidRDefault="0029241F" w14:paraId="771753F1" w14:textId="529AFA47">
            <w:pPr>
              <w:ind w:firstLine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95207AC" w:rsidR="66870F0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позитивний </w:t>
            </w:r>
          </w:p>
          <w:p w:rsidR="0029241F" w:rsidP="595207AC" w:rsidRDefault="0029241F" w14:paraId="312CC913" w14:textId="6CB06691">
            <w:pPr>
              <w:pStyle w:val="a"/>
              <w:ind w:firstLine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0029241F" w:rsidP="595207AC" w:rsidRDefault="0029241F" w14:paraId="2FFAE293" w14:textId="3FA2292C">
            <w:pPr>
              <w:pStyle w:val="a"/>
              <w:ind w:firstLine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6742" w:type="dxa"/>
            <w:tcMar/>
          </w:tcPr>
          <w:p w:rsidR="0029241F" w:rsidP="595207AC" w:rsidRDefault="0029241F" w14:paraId="63069561" w14:textId="7FF4293C">
            <w:pPr>
              <w:pStyle w:val="a"/>
              <w:ind w:firstLine="708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95207AC" w:rsidR="3FE4F09C">
              <w:rPr>
                <w:rFonts w:ascii="Calibri" w:hAnsi="Calibri" w:eastAsia="Calibri" w:cs="Calibri" w:asciiTheme="minorAscii" w:hAnsiTheme="minorAscii" w:eastAsiaTheme="minorAscii" w:cstheme="minorAscii"/>
              </w:rPr>
              <w:t>Необхідність суттєвих змін бізнес-процесів розпорядників інформації перешкоджатиме суттєвому збільшенню оприлюднених наборів відкритих даних в короткостроковій перспективі</w:t>
            </w:r>
            <w:r w:rsidRPr="595207AC" w:rsidR="6B92FA88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  <w:p w:rsidR="0029241F" w:rsidP="595207AC" w:rsidRDefault="0029241F" w14:paraId="000A8145" w14:textId="53943BB3">
            <w:pPr>
              <w:pStyle w:val="a"/>
              <w:ind w:firstLine="708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0029241F" w:rsidP="595207AC" w:rsidRDefault="0029241F" w14:paraId="55426ECF" w14:textId="03CCB331">
            <w:pPr>
              <w:pStyle w:val="a"/>
              <w:ind w:firstLine="708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95207AC" w:rsidR="6F16AB4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Проект </w:t>
            </w:r>
            <w:proofErr w:type="spellStart"/>
            <w:r w:rsidRPr="595207AC" w:rsidR="6F16AB49">
              <w:rPr>
                <w:rFonts w:ascii="Calibri" w:hAnsi="Calibri" w:eastAsia="Calibri" w:cs="Calibri" w:asciiTheme="minorAscii" w:hAnsiTheme="minorAscii" w:eastAsiaTheme="minorAscii" w:cstheme="minorAscii"/>
              </w:rPr>
              <w:t>акта</w:t>
            </w:r>
            <w:proofErr w:type="spellEnd"/>
            <w:r w:rsidRPr="595207AC" w:rsidR="6F16AB4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передбачає з</w:t>
            </w:r>
            <w:r w:rsidRPr="595207AC" w:rsidR="3FE4F09C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більшення </w:t>
            </w:r>
            <w:r w:rsidRPr="595207AC" w:rsidR="142DA12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кількості </w:t>
            </w:r>
            <w:r w:rsidRPr="595207AC" w:rsidR="3FE4F09C">
              <w:rPr>
                <w:rFonts w:ascii="Calibri" w:hAnsi="Calibri" w:eastAsia="Calibri" w:cs="Calibri" w:asciiTheme="minorAscii" w:hAnsiTheme="minorAscii" w:eastAsiaTheme="minorAscii" w:cstheme="minorAscii"/>
              </w:rPr>
              <w:t>оприлюднених наборів відкритих даних</w:t>
            </w:r>
            <w:r w:rsidRPr="595207AC" w:rsidR="6B5817EF">
              <w:rPr>
                <w:rFonts w:ascii="Calibri" w:hAnsi="Calibri" w:eastAsia="Calibri" w:cs="Calibri" w:asciiTheme="minorAscii" w:hAnsiTheme="minorAscii" w:eastAsiaTheme="minorAscii" w:cstheme="minorAscii"/>
              </w:rPr>
              <w:t>, що</w:t>
            </w:r>
            <w:r w:rsidRPr="595207AC" w:rsidR="3FE4F09C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дозволить створювати нові або розширювати можливості вже існуючих сервісів. </w:t>
            </w:r>
          </w:p>
          <w:p w:rsidR="0029241F" w:rsidP="595207AC" w:rsidRDefault="0029241F" w14:paraId="4E278D4F" w14:textId="21DCB4A4">
            <w:pPr>
              <w:pStyle w:val="a"/>
              <w:ind w:firstLine="708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95207AC" w:rsidR="3FE4F09C">
              <w:rPr>
                <w:rFonts w:ascii="Calibri" w:hAnsi="Calibri" w:eastAsia="Calibri" w:cs="Calibri" w:asciiTheme="minorAscii" w:hAnsiTheme="minorAscii" w:eastAsiaTheme="minorAscii" w:cstheme="minorAscii"/>
              </w:rPr>
              <w:t>Це позитивно вплине на ринок повторного використання публічної інформації</w:t>
            </w:r>
            <w:r w:rsidRPr="595207AC" w:rsidR="7E4B2EC3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  <w:p w:rsidR="0029241F" w:rsidP="595207AC" w:rsidRDefault="0029241F" w14:paraId="5DE75188" w14:textId="5A04B6B8">
            <w:pPr>
              <w:pStyle w:val="a"/>
              <w:ind w:firstLine="708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0029241F" w:rsidTr="0DED964F" w14:paraId="04914425" w14:textId="0E2FAC72">
        <w:tc>
          <w:tcPr>
            <w:tcW w:w="1890" w:type="dxa"/>
            <w:tcMar/>
          </w:tcPr>
          <w:p w:rsidR="0029241F" w:rsidP="00816009" w:rsidRDefault="0029241F" w14:paraId="3B3E6F9F" w14:textId="77777777">
            <w:pPr>
              <w:ind w:firstLine="0"/>
              <w:jc w:val="center"/>
            </w:pPr>
            <w:r w:rsidRPr="00DD284A">
              <w:t>Кінцеві споживачі</w:t>
            </w:r>
          </w:p>
          <w:p w:rsidR="000700D1" w:rsidP="00816009" w:rsidRDefault="000700D1" w14:paraId="54007DEE" w14:textId="77777777">
            <w:pPr>
              <w:ind w:firstLine="0"/>
              <w:jc w:val="center"/>
            </w:pPr>
          </w:p>
          <w:p w:rsidR="000700D1" w:rsidP="00816009" w:rsidRDefault="000700D1" w14:paraId="262E5482" w14:textId="1EE58C5E">
            <w:pPr>
              <w:ind w:firstLine="0"/>
              <w:jc w:val="center"/>
            </w:pPr>
            <w:r w:rsidRPr="000749A2">
              <w:rPr>
                <w:i/>
                <w:iCs/>
                <w:sz w:val="20"/>
                <w:szCs w:val="20"/>
              </w:rPr>
              <w:t>Користуються сервісами на основі відкритих даних та відкритими даними безпосередньо</w:t>
            </w:r>
          </w:p>
        </w:tc>
        <w:tc>
          <w:tcPr>
            <w:tcW w:w="2265" w:type="dxa"/>
            <w:tcMar/>
          </w:tcPr>
          <w:p w:rsidRPr="0029241F" w:rsidR="0029241F" w:rsidP="595207AC" w:rsidRDefault="0029241F" w14:paraId="3DD43424" w14:textId="2F3CA5A6">
            <w:pPr>
              <w:tabs>
                <w:tab w:val="clear" w:pos="720"/>
                <w:tab w:val="num" w:pos="127"/>
              </w:tabs>
              <w:ind w:left="-79" w:firstLine="0"/>
              <w:jc w:val="center"/>
            </w:pPr>
            <w:r w:rsidR="2638DF1D">
              <w:rPr/>
              <w:t>Здійснювати контроль за органами державної влади </w:t>
            </w:r>
          </w:p>
          <w:p w:rsidRPr="0029241F" w:rsidR="0029241F" w:rsidP="595207AC" w:rsidRDefault="0029241F" w14:paraId="121CFE67" w14:textId="401F6ECF">
            <w:pPr>
              <w:tabs>
                <w:tab w:val="clear" w:pos="720"/>
                <w:tab w:val="num" w:pos="127"/>
              </w:tabs>
              <w:ind w:left="-79" w:firstLine="0"/>
              <w:jc w:val="center"/>
            </w:pPr>
            <w:r w:rsidR="2638DF1D">
              <w:rPr/>
              <w:t xml:space="preserve"> </w:t>
            </w:r>
          </w:p>
          <w:p w:rsidRPr="0029241F" w:rsidR="0029241F" w:rsidP="595207AC" w:rsidRDefault="0029241F" w14:paraId="4583B71F" w14:textId="77777777">
            <w:pPr>
              <w:tabs>
                <w:tab w:val="clear" w:pos="720"/>
                <w:tab w:val="num" w:pos="127"/>
              </w:tabs>
              <w:ind w:left="-79" w:firstLine="0"/>
              <w:jc w:val="center"/>
            </w:pPr>
            <w:r w:rsidRPr="0029241F" w:rsidR="0029241F">
              <w:rPr/>
              <w:t>Ухвалювати інформовані рішення за допомогою доступу до інформації</w:t>
            </w:r>
            <w:r w:rsidRPr="0029241F">
              <w:tab/>
            </w:r>
          </w:p>
          <w:p w:rsidR="0029241F" w:rsidP="595207AC" w:rsidRDefault="0029241F" w14:paraId="5A6CCE6D" w14:textId="53E00628">
            <w:pPr>
              <w:pStyle w:val="a"/>
              <w:tabs>
                <w:tab w:val="clear" w:pos="720"/>
                <w:tab w:val="num" w:pos="127"/>
              </w:tabs>
              <w:ind w:left="-79" w:firstLine="0"/>
            </w:pPr>
          </w:p>
        </w:tc>
        <w:tc>
          <w:tcPr>
            <w:tcW w:w="2160" w:type="dxa"/>
            <w:tcMar/>
          </w:tcPr>
          <w:p w:rsidR="0029241F" w:rsidP="595207AC" w:rsidRDefault="0029241F" w14:paraId="5B1A90AE" w14:textId="049FFC5B">
            <w:pPr>
              <w:ind w:firstLine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95207AC" w:rsidR="3C285D23">
              <w:rPr>
                <w:rFonts w:ascii="Calibri" w:hAnsi="Calibri" w:eastAsia="Calibri" w:cs="Calibri" w:asciiTheme="minorAscii" w:hAnsiTheme="minorAscii" w:eastAsiaTheme="minorAscii" w:cstheme="minorAscii"/>
              </w:rPr>
              <w:t>нейтральний</w:t>
            </w:r>
          </w:p>
          <w:p w:rsidR="0029241F" w:rsidP="595207AC" w:rsidRDefault="0029241F" w14:paraId="514DC486" w14:textId="4CB5C356">
            <w:pPr>
              <w:pStyle w:val="a"/>
              <w:ind w:firstLine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0029241F" w:rsidP="595207AC" w:rsidRDefault="0029241F" w14:paraId="76608B7C" w14:textId="77A6AB99">
            <w:pPr>
              <w:pStyle w:val="a"/>
              <w:ind w:firstLine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0029241F" w:rsidP="595207AC" w:rsidRDefault="0029241F" w14:paraId="072BE8EB" w14:textId="2BA34EA2">
            <w:pPr>
              <w:pStyle w:val="a"/>
              <w:ind w:firstLine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0029241F" w:rsidP="595207AC" w:rsidRDefault="0029241F" w14:paraId="2219BA61" w14:textId="12F3664A">
            <w:pPr>
              <w:pStyle w:val="a"/>
              <w:ind w:firstLine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0029241F" w:rsidP="595207AC" w:rsidRDefault="0029241F" w14:paraId="1B380537" w14:textId="14281CF9">
            <w:pPr>
              <w:pStyle w:val="a"/>
              <w:ind w:firstLine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2205" w:type="dxa"/>
            <w:tcMar/>
          </w:tcPr>
          <w:p w:rsidR="0029241F" w:rsidP="595207AC" w:rsidRDefault="0029241F" w14:paraId="300203EF" w14:textId="0D45E7B1">
            <w:pPr>
              <w:ind w:firstLine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95207AC" w:rsidR="137CE65D">
              <w:rPr>
                <w:rFonts w:ascii="Calibri" w:hAnsi="Calibri" w:eastAsia="Calibri" w:cs="Calibri" w:asciiTheme="minorAscii" w:hAnsiTheme="minorAscii" w:eastAsiaTheme="minorAscii" w:cstheme="minorAscii"/>
              </w:rPr>
              <w:t>позитивний</w:t>
            </w:r>
          </w:p>
          <w:p w:rsidR="0029241F" w:rsidP="595207AC" w:rsidRDefault="0029241F" w14:paraId="7251864F" w14:textId="7AE47894">
            <w:pPr>
              <w:pStyle w:val="a"/>
              <w:ind w:firstLine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0029241F" w:rsidP="595207AC" w:rsidRDefault="0029241F" w14:paraId="4F2CCBBF" w14:textId="428A4562">
            <w:pPr>
              <w:pStyle w:val="a"/>
              <w:ind w:firstLine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6742" w:type="dxa"/>
            <w:tcMar/>
          </w:tcPr>
          <w:p w:rsidR="0029241F" w:rsidP="595207AC" w:rsidRDefault="0029241F" w14:paraId="6C252A7A" w14:textId="2D3278A8">
            <w:pPr>
              <w:pStyle w:val="a"/>
              <w:bidi w:val="0"/>
              <w:spacing w:before="0" w:beforeAutospacing="off" w:after="0" w:afterAutospacing="off" w:line="240" w:lineRule="auto"/>
              <w:ind w:left="0" w:right="0" w:firstLine="708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DED964F" w:rsidR="2B04E94D">
              <w:rPr>
                <w:rFonts w:ascii="Calibri" w:hAnsi="Calibri" w:eastAsia="Calibri" w:cs="Calibri" w:asciiTheme="minorAscii" w:hAnsiTheme="minorAscii" w:eastAsiaTheme="minorAscii" w:cstheme="minorAscii"/>
              </w:rPr>
              <w:t>Необхідність суттєвих змін бізнес-процесів розпорядників інформації перешкоджатиме суттєвому збільшенню оприлюднених наборів відкритих даних в короткостроковій перспективі</w:t>
            </w:r>
            <w:r w:rsidRPr="0DED964F" w:rsidR="4DE3C925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  <w:r w:rsidRPr="0DED964F" w:rsidR="2B04E94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  <w:p w:rsidR="0029241F" w:rsidP="595207AC" w:rsidRDefault="0029241F" w14:paraId="5D633A41" w14:textId="3D6C8472">
            <w:pPr>
              <w:pStyle w:val="a"/>
              <w:bidi w:val="0"/>
              <w:spacing w:before="0" w:beforeAutospacing="off" w:after="0" w:afterAutospacing="off" w:line="240" w:lineRule="auto"/>
              <w:ind w:left="0" w:right="0" w:firstLine="708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95207AC" w:rsidR="73B9C957">
              <w:rPr>
                <w:rFonts w:ascii="Calibri" w:hAnsi="Calibri" w:eastAsia="Calibri" w:cs="Calibri" w:asciiTheme="minorAscii" w:hAnsiTheme="minorAscii" w:eastAsiaTheme="minorAscii" w:cstheme="minorAscii"/>
              </w:rPr>
              <w:t>В середньостроковій перспективі р</w:t>
            </w:r>
            <w:r w:rsidRPr="595207AC" w:rsidR="49A1C6BD">
              <w:rPr>
                <w:rFonts w:ascii="Calibri" w:hAnsi="Calibri" w:eastAsia="Calibri" w:cs="Calibri" w:asciiTheme="minorAscii" w:hAnsiTheme="minorAscii" w:eastAsiaTheme="minorAscii" w:cstheme="minorAscii"/>
              </w:rPr>
              <w:t>івень розуміння підстав для прийнятих рішень органів влади буде підвищуватися</w:t>
            </w:r>
            <w:r w:rsidRPr="595207AC" w:rsidR="329439D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завдяки збільшенню обсягу </w:t>
            </w:r>
            <w:proofErr w:type="spellStart"/>
            <w:r w:rsidRPr="595207AC" w:rsidR="329439D4">
              <w:rPr>
                <w:rFonts w:ascii="Calibri" w:hAnsi="Calibri" w:eastAsia="Calibri" w:cs="Calibri" w:asciiTheme="minorAscii" w:hAnsiTheme="minorAscii" w:eastAsiaTheme="minorAscii" w:cstheme="minorAscii"/>
              </w:rPr>
              <w:t>проактивно</w:t>
            </w:r>
            <w:proofErr w:type="spellEnd"/>
            <w:r w:rsidRPr="595207AC" w:rsidR="329439D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оприлюдненої інформації. </w:t>
            </w:r>
          </w:p>
          <w:p w:rsidR="0029241F" w:rsidP="595207AC" w:rsidRDefault="0029241F" w14:paraId="55F74351" w14:textId="69438A0B">
            <w:pPr>
              <w:pStyle w:val="a"/>
              <w:bidi w:val="0"/>
              <w:spacing w:before="0" w:beforeAutospacing="off" w:after="0" w:afterAutospacing="off" w:line="240" w:lineRule="auto"/>
              <w:ind w:left="0" w:right="0" w:firstLine="708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DED964F" w:rsidR="2B04E94D">
              <w:rPr>
                <w:rFonts w:ascii="Calibri" w:hAnsi="Calibri" w:eastAsia="Calibri" w:cs="Calibri" w:asciiTheme="minorAscii" w:hAnsiTheme="minorAscii" w:eastAsiaTheme="minorAscii" w:cstheme="minorAscii"/>
              </w:rPr>
              <w:t>Рішення громадян можуть прийматися з врахуванням оприлюдненої інформації (вибір школи для дитини, переїзд до іншого населеного пункту, зміна місця роботи тощо)</w:t>
            </w:r>
          </w:p>
        </w:tc>
      </w:tr>
    </w:tbl>
    <w:p w:rsidR="00D42BB9" w:rsidP="00D42BB9" w:rsidRDefault="00D42BB9" w14:paraId="33193065" w14:textId="68625500"/>
    <w:p w:rsidR="00D42BB9" w:rsidP="00D42BB9" w:rsidRDefault="00D42BB9" w14:paraId="1F63D7B0" w14:textId="545649FC"/>
    <w:p w:rsidRPr="00D42BB9" w:rsidR="00D42BB9" w:rsidP="00D42BB9" w:rsidRDefault="00D42BB9" w14:paraId="0D613A97" w14:textId="77777777"/>
    <w:p w:rsidRPr="00CB7BC4" w:rsidR="007D4D5F" w:rsidRDefault="007F015E" w14:paraId="29A2D8BD" w14:textId="77777777">
      <w:pPr>
        <w:rPr>
          <w:lang w:val="ru-RU"/>
        </w:rPr>
      </w:pPr>
      <w:bookmarkStart w:name="n1762" w:id="2"/>
      <w:bookmarkStart w:name="n1757" w:id="3"/>
      <w:bookmarkEnd w:id="2"/>
      <w:bookmarkEnd w:id="3"/>
    </w:p>
    <w:sectPr w:rsidRPr="00CB7BC4" w:rsidR="007D4D5F" w:rsidSect="004577F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71376E7"/>
    <w:multiLevelType w:val="multilevel"/>
    <w:tmpl w:val="BA3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A4660DC"/>
    <w:multiLevelType w:val="multilevel"/>
    <w:tmpl w:val="55A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52D17FA"/>
    <w:multiLevelType w:val="multilevel"/>
    <w:tmpl w:val="1EFE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5F43619C"/>
    <w:multiLevelType w:val="multilevel"/>
    <w:tmpl w:val="E1AC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6B7538F9"/>
    <w:multiLevelType w:val="multilevel"/>
    <w:tmpl w:val="D30C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76502A58"/>
    <w:multiLevelType w:val="multilevel"/>
    <w:tmpl w:val="6FBC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7">
    <w:abstractNumId w:val="6"/>
  </w: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B9"/>
    <w:rsid w:val="00007EBB"/>
    <w:rsid w:val="000700D1"/>
    <w:rsid w:val="000749A2"/>
    <w:rsid w:val="001116A7"/>
    <w:rsid w:val="001F7028"/>
    <w:rsid w:val="0029241F"/>
    <w:rsid w:val="0040381B"/>
    <w:rsid w:val="004577F7"/>
    <w:rsid w:val="007F015E"/>
    <w:rsid w:val="00816009"/>
    <w:rsid w:val="00937E95"/>
    <w:rsid w:val="00A23620"/>
    <w:rsid w:val="00C93CFC"/>
    <w:rsid w:val="00CB7BC4"/>
    <w:rsid w:val="00D37AE3"/>
    <w:rsid w:val="00D42BB9"/>
    <w:rsid w:val="00DCCE91"/>
    <w:rsid w:val="00DD284A"/>
    <w:rsid w:val="00EA1910"/>
    <w:rsid w:val="0176444E"/>
    <w:rsid w:val="020659FC"/>
    <w:rsid w:val="02629EC5"/>
    <w:rsid w:val="0282334F"/>
    <w:rsid w:val="032AAEC7"/>
    <w:rsid w:val="03FABBFD"/>
    <w:rsid w:val="046E3CD2"/>
    <w:rsid w:val="059F00D2"/>
    <w:rsid w:val="06CBF0B7"/>
    <w:rsid w:val="095FE41A"/>
    <w:rsid w:val="0A2F247A"/>
    <w:rsid w:val="0A6B46C1"/>
    <w:rsid w:val="0A9F2991"/>
    <w:rsid w:val="0D15CDAF"/>
    <w:rsid w:val="0DED964F"/>
    <w:rsid w:val="1048291E"/>
    <w:rsid w:val="104F15AC"/>
    <w:rsid w:val="137BB3FD"/>
    <w:rsid w:val="137CE65D"/>
    <w:rsid w:val="138C7C71"/>
    <w:rsid w:val="142DA12A"/>
    <w:rsid w:val="14493B2E"/>
    <w:rsid w:val="144C9EF7"/>
    <w:rsid w:val="14C8E835"/>
    <w:rsid w:val="15C77F52"/>
    <w:rsid w:val="16D00B94"/>
    <w:rsid w:val="17D8BA43"/>
    <w:rsid w:val="18331992"/>
    <w:rsid w:val="1842A1C2"/>
    <w:rsid w:val="18DDC5AA"/>
    <w:rsid w:val="18F2508B"/>
    <w:rsid w:val="18FA2FF9"/>
    <w:rsid w:val="1ADE76D5"/>
    <w:rsid w:val="1AEE3E95"/>
    <w:rsid w:val="1CACC282"/>
    <w:rsid w:val="1E5057D4"/>
    <w:rsid w:val="2193B176"/>
    <w:rsid w:val="21D5AD39"/>
    <w:rsid w:val="21EF353C"/>
    <w:rsid w:val="23171BF8"/>
    <w:rsid w:val="232CB676"/>
    <w:rsid w:val="23ADD4B7"/>
    <w:rsid w:val="23DD325B"/>
    <w:rsid w:val="24BE7C1A"/>
    <w:rsid w:val="258432B9"/>
    <w:rsid w:val="2638DF1D"/>
    <w:rsid w:val="26F8A92D"/>
    <w:rsid w:val="27B40A26"/>
    <w:rsid w:val="28D520A3"/>
    <w:rsid w:val="28E5C832"/>
    <w:rsid w:val="29ADFC55"/>
    <w:rsid w:val="2B04E94D"/>
    <w:rsid w:val="2B5B9619"/>
    <w:rsid w:val="2B91075D"/>
    <w:rsid w:val="2BC4C0A8"/>
    <w:rsid w:val="2E4D27F7"/>
    <w:rsid w:val="2EDAEDA8"/>
    <w:rsid w:val="3201AB86"/>
    <w:rsid w:val="32695B3D"/>
    <w:rsid w:val="329439D4"/>
    <w:rsid w:val="3329543D"/>
    <w:rsid w:val="344761E3"/>
    <w:rsid w:val="34595E22"/>
    <w:rsid w:val="34A0F656"/>
    <w:rsid w:val="35532553"/>
    <w:rsid w:val="359BF97E"/>
    <w:rsid w:val="390B1A01"/>
    <w:rsid w:val="394A976A"/>
    <w:rsid w:val="39F13435"/>
    <w:rsid w:val="3A5414A8"/>
    <w:rsid w:val="3B59361F"/>
    <w:rsid w:val="3BCB3A51"/>
    <w:rsid w:val="3C285D23"/>
    <w:rsid w:val="3CE299FA"/>
    <w:rsid w:val="3CF0097E"/>
    <w:rsid w:val="3D3229BE"/>
    <w:rsid w:val="3FE4F09C"/>
    <w:rsid w:val="40523D17"/>
    <w:rsid w:val="41925417"/>
    <w:rsid w:val="4205BD0F"/>
    <w:rsid w:val="433983BA"/>
    <w:rsid w:val="44CE6E47"/>
    <w:rsid w:val="452F70DD"/>
    <w:rsid w:val="455E3091"/>
    <w:rsid w:val="467F1D17"/>
    <w:rsid w:val="484B9239"/>
    <w:rsid w:val="48837E6D"/>
    <w:rsid w:val="497F237A"/>
    <w:rsid w:val="49A1C6BD"/>
    <w:rsid w:val="49D3399E"/>
    <w:rsid w:val="4A351FB1"/>
    <w:rsid w:val="4BF97D17"/>
    <w:rsid w:val="4C657D6B"/>
    <w:rsid w:val="4D8F9CA1"/>
    <w:rsid w:val="4DE3C925"/>
    <w:rsid w:val="4F6205E8"/>
    <w:rsid w:val="50ED0A71"/>
    <w:rsid w:val="516279A4"/>
    <w:rsid w:val="52193557"/>
    <w:rsid w:val="53540B67"/>
    <w:rsid w:val="53F60230"/>
    <w:rsid w:val="59318CBE"/>
    <w:rsid w:val="595207AC"/>
    <w:rsid w:val="59680583"/>
    <w:rsid w:val="599995C5"/>
    <w:rsid w:val="5ADF1D12"/>
    <w:rsid w:val="5CC920CA"/>
    <w:rsid w:val="5D0DD827"/>
    <w:rsid w:val="5D7BBB5F"/>
    <w:rsid w:val="5E2CD4B9"/>
    <w:rsid w:val="5EBD2E36"/>
    <w:rsid w:val="5FB9AAB2"/>
    <w:rsid w:val="5FD7EB76"/>
    <w:rsid w:val="606D50BF"/>
    <w:rsid w:val="6092F99B"/>
    <w:rsid w:val="61AC388D"/>
    <w:rsid w:val="645015ED"/>
    <w:rsid w:val="64BF203F"/>
    <w:rsid w:val="64FEBD94"/>
    <w:rsid w:val="65051E28"/>
    <w:rsid w:val="66870F04"/>
    <w:rsid w:val="6753364B"/>
    <w:rsid w:val="682A0D7E"/>
    <w:rsid w:val="68C1DF17"/>
    <w:rsid w:val="6908CDFF"/>
    <w:rsid w:val="6A29D4BB"/>
    <w:rsid w:val="6B5817EF"/>
    <w:rsid w:val="6B92FA88"/>
    <w:rsid w:val="6D8F3B36"/>
    <w:rsid w:val="6E0A1304"/>
    <w:rsid w:val="6E79FE08"/>
    <w:rsid w:val="6EA0085E"/>
    <w:rsid w:val="6ECE3D88"/>
    <w:rsid w:val="6F16AB49"/>
    <w:rsid w:val="6F3A5A79"/>
    <w:rsid w:val="70B37D1C"/>
    <w:rsid w:val="7128210D"/>
    <w:rsid w:val="714FE27D"/>
    <w:rsid w:val="7326D9F1"/>
    <w:rsid w:val="73A9DA71"/>
    <w:rsid w:val="73B9C957"/>
    <w:rsid w:val="75F29742"/>
    <w:rsid w:val="7652223B"/>
    <w:rsid w:val="78F32417"/>
    <w:rsid w:val="792A8333"/>
    <w:rsid w:val="7BDE529A"/>
    <w:rsid w:val="7C078604"/>
    <w:rsid w:val="7C70A48E"/>
    <w:rsid w:val="7C9FBC77"/>
    <w:rsid w:val="7D571E73"/>
    <w:rsid w:val="7E4B2EC3"/>
    <w:rsid w:val="7E78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19DD"/>
  <w15:chartTrackingRefBased/>
  <w15:docId w15:val="{C852BB52-297D-44B7-9F61-C175901EFC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1F7028"/>
    <w:pPr>
      <w:spacing w:after="0" w:line="240" w:lineRule="auto"/>
      <w:ind w:firstLine="720"/>
      <w:contextualSpacing/>
      <w:jc w:val="both"/>
    </w:pPr>
    <w:rPr>
      <w:rFonts w:ascii="Times New Roman" w:hAnsi="Times New Roman"/>
      <w:sz w:val="24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BB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2BB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42BB9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CB7BC4"/>
    <w:rPr>
      <w:rFonts w:ascii="Segoe UI" w:hAnsi="Segoe UI" w:cs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/>
    <w:rsid w:val="00CB7BC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D28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4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5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5945FF70B693479696A2D9F3DB99C0" ma:contentTypeVersion="8" ma:contentTypeDescription="Створення нового документа." ma:contentTypeScope="" ma:versionID="da265aa9452e99d753c52898b772a313">
  <xsd:schema xmlns:xsd="http://www.w3.org/2001/XMLSchema" xmlns:xs="http://www.w3.org/2001/XMLSchema" xmlns:p="http://schemas.microsoft.com/office/2006/metadata/properties" xmlns:ns2="62052c39-ae15-4c5d-841c-a94b350b123d" xmlns:ns3="333a9da2-3740-45f4-b469-8c6b58d6cae7" targetNamespace="http://schemas.microsoft.com/office/2006/metadata/properties" ma:root="true" ma:fieldsID="b8c084f40483656969b2d6310a6cfaef" ns2:_="" ns3:_="">
    <xsd:import namespace="62052c39-ae15-4c5d-841c-a94b350b123d"/>
    <xsd:import namespace="333a9da2-3740-45f4-b469-8c6b58d6c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52c39-ae15-4c5d-841c-a94b350b1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a9da2-3740-45f4-b469-8c6b58d6c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95C70-9E81-4FC6-9099-1A08F435B44C}"/>
</file>

<file path=customXml/itemProps2.xml><?xml version="1.0" encoding="utf-8"?>
<ds:datastoreItem xmlns:ds="http://schemas.openxmlformats.org/officeDocument/2006/customXml" ds:itemID="{520FC753-A909-4611-B39E-EF27D0BD46E4}"/>
</file>

<file path=customXml/itemProps3.xml><?xml version="1.0" encoding="utf-8"?>
<ds:datastoreItem xmlns:ds="http://schemas.openxmlformats.org/officeDocument/2006/customXml" ds:itemID="{527BFD4F-D825-44FE-887E-724C04FF14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Ruslan  Tkachenko</dc:creator>
  <keywords/>
  <dc:description/>
  <lastModifiedBy>Ruslan  Tkachenko</lastModifiedBy>
  <revision>6</revision>
  <dcterms:created xsi:type="dcterms:W3CDTF">2020-05-22T12:46:00.0000000Z</dcterms:created>
  <dcterms:modified xsi:type="dcterms:W3CDTF">2020-05-27T12:00:29.2956199Z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0x0101005C5945FF70B693479696A2D9F3DB99C0</vt:lpwstr>
  </property>
</Properties>
</file>