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F5F0" w14:textId="386916DC" w:rsidR="00DE5657" w:rsidRDefault="00E36F00" w:rsidP="00DE5657">
      <w:pPr>
        <w:ind w:hanging="567"/>
        <w:rPr>
          <w:rFonts w:ascii="Times New Roman" w:hAnsi="Times New Roman" w:cs="Times New Roman"/>
          <w:noProof/>
          <w:lang w:val="uk-UA"/>
        </w:rPr>
      </w:pPr>
      <w:bookmarkStart w:id="0" w:name="_GoBack"/>
      <w:bookmarkEnd w:id="0"/>
      <w:r w:rsidRPr="00AB5867">
        <w:rPr>
          <w:rFonts w:ascii="Times New Roman" w:hAnsi="Times New Roman" w:cs="Times New Roman"/>
          <w:noProof/>
          <w:lang w:val="uk-UA"/>
        </w:rPr>
        <w:t>Вих. № 51</w:t>
      </w:r>
      <w:r>
        <w:rPr>
          <w:rFonts w:ascii="Times New Roman" w:hAnsi="Times New Roman" w:cs="Times New Roman"/>
          <w:noProof/>
          <w:lang w:val="uk-UA"/>
        </w:rPr>
        <w:t>7</w:t>
      </w:r>
      <w:r w:rsidRPr="00AB5867">
        <w:rPr>
          <w:rFonts w:ascii="Times New Roman" w:hAnsi="Times New Roman" w:cs="Times New Roman"/>
          <w:noProof/>
          <w:lang w:val="uk-UA"/>
        </w:rPr>
        <w:t xml:space="preserve"> від 1</w:t>
      </w:r>
      <w:r w:rsidR="00124373">
        <w:rPr>
          <w:rFonts w:ascii="Times New Roman" w:hAnsi="Times New Roman" w:cs="Times New Roman"/>
          <w:noProof/>
          <w:lang w:val="uk-UA"/>
        </w:rPr>
        <w:t>6</w:t>
      </w:r>
      <w:r w:rsidRPr="00AB5867">
        <w:rPr>
          <w:rFonts w:ascii="Times New Roman" w:hAnsi="Times New Roman" w:cs="Times New Roman"/>
          <w:noProof/>
          <w:lang w:val="uk-UA"/>
        </w:rPr>
        <w:t>.10.2020</w:t>
      </w:r>
    </w:p>
    <w:p w14:paraId="2B873E38" w14:textId="77777777" w:rsidR="00081128" w:rsidRPr="003D51A8" w:rsidRDefault="00136B44" w:rsidP="00081128">
      <w:pPr>
        <w:spacing w:after="0" w:line="240" w:lineRule="auto"/>
        <w:ind w:left="4954" w:firstLine="2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D51A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Голові </w:t>
      </w:r>
      <w:r w:rsidR="00081128" w:rsidRPr="003D51A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Комітету Верховної Ради України </w:t>
      </w:r>
    </w:p>
    <w:p w14:paraId="0203CDDB" w14:textId="6E4A17FD" w:rsidR="00081128" w:rsidRPr="003D51A8" w:rsidRDefault="00081128" w:rsidP="00081128">
      <w:pPr>
        <w:spacing w:after="0" w:line="240" w:lineRule="auto"/>
        <w:ind w:left="4952" w:firstLine="2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D51A8">
        <w:rPr>
          <w:rFonts w:ascii="Times New Roman" w:eastAsia="Calibri" w:hAnsi="Times New Roman" w:cs="Times New Roman"/>
          <w:sz w:val="26"/>
          <w:szCs w:val="26"/>
          <w:lang w:val="uk-UA"/>
        </w:rPr>
        <w:t>з питань транспорту та інфраструктури</w:t>
      </w:r>
    </w:p>
    <w:p w14:paraId="6BD0ECEB" w14:textId="6B0166BA" w:rsidR="00081128" w:rsidRDefault="0001218A" w:rsidP="00081128">
      <w:pPr>
        <w:spacing w:after="0" w:line="240" w:lineRule="auto"/>
        <w:ind w:left="4952" w:firstLine="2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D51A8">
        <w:rPr>
          <w:rFonts w:ascii="Times New Roman" w:eastAsia="Calibri" w:hAnsi="Times New Roman" w:cs="Times New Roman"/>
          <w:sz w:val="26"/>
          <w:szCs w:val="26"/>
          <w:lang w:val="uk-UA"/>
        </w:rPr>
        <w:t>Кісєл</w:t>
      </w:r>
      <w:r w:rsidR="000838DD">
        <w:rPr>
          <w:rFonts w:ascii="Times New Roman" w:eastAsia="Calibri" w:hAnsi="Times New Roman" w:cs="Times New Roman"/>
          <w:sz w:val="26"/>
          <w:szCs w:val="26"/>
          <w:lang w:val="uk-UA"/>
        </w:rPr>
        <w:t>ю</w:t>
      </w:r>
      <w:r w:rsidRPr="003D51A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3D51A8" w:rsidRPr="003D51A8">
        <w:rPr>
          <w:rFonts w:ascii="Times New Roman" w:eastAsia="Calibri" w:hAnsi="Times New Roman" w:cs="Times New Roman"/>
          <w:sz w:val="26"/>
          <w:szCs w:val="26"/>
          <w:lang w:val="uk-UA"/>
        </w:rPr>
        <w:t>Ю.Г.</w:t>
      </w:r>
    </w:p>
    <w:p w14:paraId="73A05F01" w14:textId="77777777" w:rsidR="003A5F9D" w:rsidRPr="00081128" w:rsidRDefault="003A5F9D" w:rsidP="00215469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7A1D00B" w14:textId="0723632D" w:rsidR="00762C30" w:rsidRPr="00A81AF7" w:rsidRDefault="00A81AF7" w:rsidP="003D3E49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81AF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Пропозиції та з</w:t>
      </w:r>
      <w:r w:rsidR="003D3E49" w:rsidRPr="00A81AF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ауваження </w:t>
      </w:r>
    </w:p>
    <w:p w14:paraId="367E4BF2" w14:textId="4F0F4FA6" w:rsidR="00762C30" w:rsidRPr="00A81AF7" w:rsidRDefault="00762C30" w:rsidP="003D3E49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81A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до </w:t>
      </w:r>
      <w:r w:rsidR="00116860" w:rsidRPr="00A81A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проекту Закону</w:t>
      </w:r>
      <w:r w:rsidR="000667E0" w:rsidRPr="00A81AF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667E0" w:rsidRPr="00A81A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№</w:t>
      </w:r>
      <w:r w:rsidR="000667E0" w:rsidRPr="00A81AF7">
        <w:rPr>
          <w:rFonts w:ascii="Times New Roman" w:eastAsia="Calibri" w:hAnsi="Times New Roman" w:cs="Times New Roman"/>
          <w:b/>
          <w:sz w:val="26"/>
          <w:szCs w:val="26"/>
        </w:rPr>
        <w:t>3927</w:t>
      </w:r>
      <w:r w:rsidR="00116860" w:rsidRPr="00A81A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«Про Національну комісію, що здійснює державне регулювання у сфері транспорту»</w:t>
      </w:r>
    </w:p>
    <w:p w14:paraId="5DAB6C7B" w14:textId="62BC3AC0" w:rsidR="00762C30" w:rsidRPr="001F658A" w:rsidRDefault="00762C30" w:rsidP="003D3E49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05EAADB4" w14:textId="02AAAD4C" w:rsidR="00762C30" w:rsidRPr="001F658A" w:rsidRDefault="00AC640C" w:rsidP="003D3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Експерти ГО «Офіс ефективного регулювання –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BRDO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» проаналізували з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аре</w:t>
      </w:r>
      <w:r w:rsidR="0011686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єстрований депутатами законопрое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кт №3927</w:t>
      </w:r>
      <w:r w:rsidR="0011686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від 22</w:t>
      </w:r>
      <w:r w:rsidR="003D3E4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липня </w:t>
      </w:r>
      <w:r w:rsidR="0011686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20</w:t>
      </w:r>
      <w:r w:rsidR="003D3E4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20 року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3D3E4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«Про Національну комісію, що здійснює державне регулювання у сфері транспорту»</w:t>
      </w:r>
      <w:r w:rsidR="00A43A0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(далі –«НКРТ»)</w:t>
      </w:r>
      <w:r w:rsidR="003D3E4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 виявили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низку проблемних </w:t>
      </w:r>
      <w:r w:rsidR="0011686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положень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 а саме:</w:t>
      </w:r>
      <w:r w:rsidR="00762C30"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</w:p>
    <w:p w14:paraId="02EB378F" w14:textId="77777777" w:rsidR="00762C30" w:rsidRPr="001F658A" w:rsidRDefault="00762C30" w:rsidP="003D3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</w:pPr>
    </w:p>
    <w:p w14:paraId="65197134" w14:textId="0DCA8E2F" w:rsidR="003D3E49" w:rsidRPr="001F658A" w:rsidRDefault="00762C30" w:rsidP="003D3E4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Theme="minorEastAsia"/>
          <w:b/>
          <w:bCs/>
          <w:i/>
          <w:iCs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Неконституційні положення</w:t>
      </w:r>
    </w:p>
    <w:p w14:paraId="4B359C9F" w14:textId="6862F1E1" w:rsidR="003D3E49" w:rsidRPr="001F658A" w:rsidRDefault="003D3E49" w:rsidP="003D3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Стаття 9 законопроекту визначає повноваження Президента та Верховної Ради України (далі – «ВРУ») щодо внесення кандидатур до складу конкурсної комісії. Таке положення є неконституційним, оскільки повноваження Президента та ВРУ вичерпно визначені в Конституції України, додаткове наділення повноваженнями на рівні закону є недопустимим, про що Конституційний суд України неодноразово наголошував у своїх рішеннях: </w:t>
      </w:r>
    </w:p>
    <w:p w14:paraId="31379E51" w14:textId="77777777" w:rsidR="003D3E49" w:rsidRPr="001F658A" w:rsidRDefault="003D3E49" w:rsidP="003D3E49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№ 5-р/2019 від 13.06.2019 (Рішення у справі про Національну комісію, що здійснює державне регулювання у сферах енергетики та комунальних послуг);</w:t>
      </w:r>
    </w:p>
    <w:p w14:paraId="36E63941" w14:textId="3DC14704" w:rsidR="003D3E49" w:rsidRPr="001F658A" w:rsidRDefault="003D3E49" w:rsidP="003D3E49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№ 21-рп/2008 від 08.10.2008 (Рішення у справі про Національну комісію з питань регулювання зв’язку України).</w:t>
      </w:r>
    </w:p>
    <w:p w14:paraId="40AA1129" w14:textId="2D2A908B" w:rsidR="003D3E49" w:rsidRPr="001F658A" w:rsidRDefault="003D3E49" w:rsidP="003D3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Наявність неконституційних положень в проекті закону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ставлять під загрозу стабільне функціонування </w:t>
      </w:r>
      <w:r w:rsidR="006D44B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НКРТ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дозволя</w:t>
      </w:r>
      <w:r w:rsidR="7EE05B2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ють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будь-який момент заблокувати роботу конкурсної комісії і самого органу.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AC640C">
        <w:rPr>
          <w:rFonts w:ascii="Times New Roman" w:eastAsia="Calibri" w:hAnsi="Times New Roman" w:cs="Times New Roman"/>
          <w:sz w:val="26"/>
          <w:szCs w:val="26"/>
          <w:lang w:val="uk-UA"/>
        </w:rPr>
        <w:t>Тому пропонуємо т</w:t>
      </w:r>
      <w:r w:rsidR="003B2EF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акі положення </w:t>
      </w:r>
      <w:r w:rsidR="00AC640C">
        <w:rPr>
          <w:rFonts w:ascii="Times New Roman" w:eastAsia="Calibri" w:hAnsi="Times New Roman" w:cs="Times New Roman"/>
          <w:sz w:val="26"/>
          <w:szCs w:val="26"/>
          <w:lang w:val="uk-UA"/>
        </w:rPr>
        <w:t>привести</w:t>
      </w:r>
      <w:r w:rsidR="002220E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у відповідність</w:t>
      </w:r>
      <w:r w:rsidR="00023E4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до</w:t>
      </w:r>
      <w:r w:rsidR="002220E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Конституції.</w:t>
      </w:r>
    </w:p>
    <w:p w14:paraId="6A05A809" w14:textId="167C05F9" w:rsidR="00762C30" w:rsidRPr="001F658A" w:rsidRDefault="00762C30" w:rsidP="003D3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14:paraId="03B0D88A" w14:textId="30981470" w:rsidR="00762C30" w:rsidRPr="001F658A" w:rsidRDefault="00762C30" w:rsidP="003D3E4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Відсутність незалежності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органу </w:t>
      </w:r>
      <w:r w:rsidR="002220E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в</w:t>
      </w:r>
      <w:r w:rsidR="00023E4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прийнятті рішень</w:t>
      </w:r>
    </w:p>
    <w:p w14:paraId="39804840" w14:textId="1678B9F6" w:rsidR="003D3E49" w:rsidRPr="001F658A" w:rsidRDefault="006D44BF" w:rsidP="006D44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Стаття 55 </w:t>
      </w:r>
      <w:r w:rsidR="00023E4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Директиви 2012/34/ЄС про створення єдиного європейського залізничного простору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 вимагає від кожної держави-члена створити єдиний національний регуляторний орган для залізниці. Такий орган повинен бути самостійним (окремим) органом влади, який в організаційному, функціональному</w:t>
      </w:r>
      <w:r w:rsidR="0070419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ієрархічному відношенні, а також у прийнятті рішень є юридично відокремленим і </w:t>
      </w:r>
      <w:r w:rsidRPr="001F658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незалежним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від будь-якої іншої публічної (державної) чи приватної організації</w:t>
      </w:r>
      <w:r w:rsidR="00F47188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2"/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="00295CB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Проект закону наразі містить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положення</w:t>
      </w:r>
      <w:r w:rsidR="00295CB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які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повністю нівелюють незалежність органу: </w:t>
      </w:r>
    </w:p>
    <w:p w14:paraId="10B4FA83" w14:textId="77777777" w:rsidR="006D44BF" w:rsidRPr="001F658A" w:rsidRDefault="006D44BF" w:rsidP="006D44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2145C6BA" w14:textId="68DC91D4" w:rsidR="00762C30" w:rsidRPr="0023558B" w:rsidRDefault="0023558B" w:rsidP="00235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a</w:t>
      </w:r>
      <w:r w:rsidR="06FF2EA2"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="0085386F"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762C30"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>Каб</w:t>
      </w:r>
      <w:r w:rsidR="00023E4A"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>інет М</w:t>
      </w:r>
      <w:r w:rsidR="00762C30"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>ін</w:t>
      </w:r>
      <w:r w:rsidR="00023E4A"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>істрів України</w:t>
      </w:r>
      <w:r w:rsidR="00762C30"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може скасувати будь-яке рішення НКРТ повністю або частково.</w:t>
      </w:r>
    </w:p>
    <w:p w14:paraId="073B10DC" w14:textId="747326D9" w:rsidR="00A43A0F" w:rsidRPr="001F658A" w:rsidRDefault="00A43A0F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Стаття 14 проекту закону встановлює, що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 Міністрів України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може скасувати будь-яке рішення НКРТ повністю або частково. </w:t>
      </w:r>
    </w:p>
    <w:p w14:paraId="7A326A30" w14:textId="4E2809E2" w:rsidR="00A43A0F" w:rsidRPr="001F658A" w:rsidRDefault="006D44BF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За рекомендаціями</w:t>
      </w:r>
      <w:r w:rsidR="626CC003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626CC003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Організації економічного співробітництва та розвитку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3375D9D4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(далі - “</w:t>
      </w:r>
      <w:r w:rsidR="434EF4A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ОЕСР</w:t>
      </w:r>
      <w:r w:rsidR="5053E6A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”)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 н</w:t>
      </w:r>
      <w:r w:rsidR="00A43A0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езалежність у прийнятті рішень регулятором означає, зокрема, що прийняті НКРТ рішення є остаточними, а скасувати таке рішення може лише суд</w:t>
      </w:r>
      <w:r w:rsidR="00F47188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3"/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Зокрема, стаття 56 згаданої Директиви визначає, що рішення регулятора є обов’язковими для виконання усіма сторонами, на яких таке рішення поширюється і </w:t>
      </w:r>
      <w:r w:rsidRPr="001F658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не підлягає контролю будь-яко</w:t>
      </w:r>
      <w:r w:rsidR="5F597079" w:rsidRPr="40BAACD7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ю</w:t>
      </w:r>
      <w:r w:rsidRPr="001F658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іншою адміністративною інстанцією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4"/>
      </w:r>
    </w:p>
    <w:p w14:paraId="3422FDCC" w14:textId="412BB343" w:rsidR="0044138D" w:rsidRPr="001F658A" w:rsidRDefault="00A43A0F" w:rsidP="0044138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Створення залежного і повністю підконтрольного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Кабінету Міністрів України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органу повністю нівелює ідею незалежного регулятора, який забезпечує баланс інтересів </w:t>
      </w:r>
      <w:r w:rsidR="0044138D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бізнесу, споживачів та держави. Саме для забезпечення балансу інтересів такі органи є колегіальними, а процедура добору членів НКРТ містить додаткові запобіжники, спрямовані на уникнення конфлікту інтересів, корупційних ризиків та політичної приналежності, що мож</w:t>
      </w:r>
      <w:r w:rsidR="0048634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уть</w:t>
      </w:r>
      <w:r w:rsidR="0044138D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впливати на неупередженість рішень. </w:t>
      </w:r>
      <w:r w:rsidR="00AC640C">
        <w:rPr>
          <w:rFonts w:ascii="Times New Roman" w:eastAsia="Calibri" w:hAnsi="Times New Roman" w:cs="Times New Roman"/>
          <w:sz w:val="26"/>
          <w:szCs w:val="26"/>
          <w:lang w:val="uk-UA"/>
        </w:rPr>
        <w:t>Отже</w:t>
      </w:r>
      <w:r w:rsidR="0044138D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рішення регулятора не потребують додаткового </w:t>
      </w:r>
      <w:r w:rsidR="006D44B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контролю</w:t>
      </w:r>
      <w:r w:rsidR="0048634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щодо балансу інтересів</w:t>
      </w:r>
      <w:r w:rsidR="0044138D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будь-яким вищим органом, зокрема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Кабінетом Міністрів України</w:t>
      </w:r>
      <w:r w:rsidR="0048634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14:paraId="1E090C28" w14:textId="4127CC54" w:rsidR="006D44BF" w:rsidRPr="001F658A" w:rsidRDefault="0048634C" w:rsidP="006D44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 разі якщо НКРТ прийме протиправне рішення, то лише суд може оцінити наявність чи відсутність порушень прав суб’єктів господарювання чи споживачів з дотримання усіх процесуальних гарантій, у той час як пропоноване скасування рішень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Кабінетом Міністрів України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не передбачає жодної процедури, не гарантує усім зацікавленим сторонам можливості бути заслуханими, а також несе ризик скасування економічно обґрунтованих рішень винятково з політичних мотивів. </w:t>
      </w:r>
    </w:p>
    <w:p w14:paraId="28BDC4C8" w14:textId="5456EE03" w:rsidR="006D44BF" w:rsidRPr="001F658A" w:rsidRDefault="006D44BF" w:rsidP="006D44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Відтак, положення про можливість скасування рішень НКРТ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Кабінетом Міністрів України </w:t>
      </w:r>
      <w:r w:rsidR="00A93838">
        <w:rPr>
          <w:rFonts w:ascii="Times New Roman" w:eastAsia="Calibri" w:hAnsi="Times New Roman" w:cs="Times New Roman"/>
          <w:sz w:val="26"/>
          <w:szCs w:val="26"/>
          <w:lang w:val="uk-UA"/>
        </w:rPr>
        <w:t>пропонуємо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A93838">
        <w:rPr>
          <w:rFonts w:ascii="Times New Roman" w:eastAsia="Calibri" w:hAnsi="Times New Roman" w:cs="Times New Roman"/>
          <w:sz w:val="26"/>
          <w:szCs w:val="26"/>
          <w:lang w:val="uk-UA"/>
        </w:rPr>
        <w:t>вилучити</w:t>
      </w:r>
      <w:r w:rsidR="00A9383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 тексту законопроекту як таке, що порушує стандарти незалежності регуляторного органу і вимоги Директиви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2012/34/ЄС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14:paraId="5A39BBE3" w14:textId="77777777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43FF6E12" w14:textId="1360BEE6" w:rsidR="00762C30" w:rsidRPr="0023558B" w:rsidRDefault="25171B10" w:rsidP="00235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б. </w:t>
      </w:r>
      <w:r w:rsidR="00762C30" w:rsidRPr="0023558B">
        <w:rPr>
          <w:rFonts w:ascii="Times New Roman" w:eastAsia="Calibri" w:hAnsi="Times New Roman" w:cs="Times New Roman"/>
          <w:sz w:val="26"/>
          <w:szCs w:val="26"/>
          <w:lang w:val="uk-UA"/>
        </w:rPr>
        <w:t>Член НКРТ може бути звільнений у будь-який момент</w:t>
      </w:r>
    </w:p>
    <w:p w14:paraId="58B141BE" w14:textId="25F5BDC3" w:rsidR="00762C30" w:rsidRPr="001F658A" w:rsidRDefault="0048634C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Стаття 9 законопроекту наділяє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 Міністрів України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11686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право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м звільняти</w:t>
      </w:r>
      <w:r w:rsidR="0011686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членів Р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егулятора, </w:t>
      </w:r>
      <w:r w:rsidR="00A93838">
        <w:rPr>
          <w:rFonts w:ascii="Times New Roman" w:eastAsia="Calibri" w:hAnsi="Times New Roman" w:cs="Times New Roman"/>
          <w:sz w:val="26"/>
          <w:szCs w:val="26"/>
          <w:lang w:val="uk-UA"/>
        </w:rPr>
        <w:t>проте</w:t>
      </w:r>
      <w:r w:rsidR="00A9383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підстави для звільнення міс</w:t>
      </w:r>
      <w:r w:rsidR="0011686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т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ять </w:t>
      </w:r>
      <w:r w:rsidR="0011686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нечіткі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формулювання </w:t>
      </w:r>
      <w:r w:rsidR="00A9383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такі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як -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«встановлення факту порушення ним вимог законів, що регулюють діяльність у сфері транспорту». Це означає, що 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 міністрів України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де-факто зможе звільнити будь-якого члена в будь-який час. </w:t>
      </w:r>
    </w:p>
    <w:p w14:paraId="73ED1157" w14:textId="63450203" w:rsidR="006D44BF" w:rsidRPr="001F658A" w:rsidRDefault="006D44BF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Директива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2012/34/ЄС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надає державам-членам дискрецію обрати, чи члени регулят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ор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а призначаються на обмежений і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поновлюваний термін, чи на постійній основі, проте зобов’язує держави встановити, що </w:t>
      </w:r>
      <w:r w:rsidRPr="001F658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звільнення можливе лише з дисциплінарних причин, які не пов’язані з процесом прийняття рішень</w:t>
      </w:r>
      <w:r w:rsidR="00D7692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5"/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473BA1CC" w14:textId="6F41F690" w:rsidR="006F1B78" w:rsidRPr="001F658A" w:rsidRDefault="0048634C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Можливість свавільного звільнення членів НКРТ не сприяє стабільності органу й вкотре робить НКРТ повністю залежним від 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 М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іністрів України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="006F1B7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Члени НКРТ для призначення на посаду проходять вимогливий конкурс, доводять свою неупередженість і приймають рішення з підвищеними вимогами до прозорості та підзвітності перед </w:t>
      </w:r>
      <w:r w:rsidR="006F1B7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бізнесом та споживачами, проте можуть бути звільнені в будь-який момент і з будь-яких причин</w:t>
      </w:r>
      <w:r w:rsidR="006D44B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через непопулярні прийняті рішення чи перспективу прийняття таких рішень</w:t>
      </w:r>
      <w:r w:rsidR="006F1B7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14:paraId="53B24000" w14:textId="55086A1E" w:rsidR="006F1B78" w:rsidRPr="001F658A" w:rsidRDefault="006F1B78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Подібно до попереднього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пункту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встановлення факту порушення вимог закону – це прерогатива суду, а не політичне рішення, яке приймає 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 М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іністрів України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4036014C" w14:textId="56984A1D" w:rsidR="006D44BF" w:rsidRPr="001F658A" w:rsidRDefault="006D44BF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Саме тому </w:t>
      </w:r>
      <w:r w:rsidR="00A9383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ми пропонуємо </w:t>
      </w:r>
      <w:r w:rsidR="00227C61">
        <w:rPr>
          <w:rFonts w:ascii="Times New Roman" w:eastAsia="Calibri" w:hAnsi="Times New Roman" w:cs="Times New Roman"/>
          <w:sz w:val="26"/>
          <w:szCs w:val="26"/>
          <w:lang w:val="uk-UA"/>
        </w:rPr>
        <w:t>дану</w:t>
      </w:r>
      <w:r w:rsidR="00227C6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редакці</w:t>
      </w:r>
      <w:r w:rsidR="00A93838">
        <w:rPr>
          <w:rFonts w:ascii="Times New Roman" w:eastAsia="Calibri" w:hAnsi="Times New Roman" w:cs="Times New Roman"/>
          <w:sz w:val="26"/>
          <w:szCs w:val="26"/>
          <w:lang w:val="uk-UA"/>
        </w:rPr>
        <w:t>ю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підстав для звільнення </w:t>
      </w:r>
      <w:r w:rsidR="00A93838">
        <w:rPr>
          <w:rFonts w:ascii="Times New Roman" w:eastAsia="Calibri" w:hAnsi="Times New Roman" w:cs="Times New Roman"/>
          <w:sz w:val="26"/>
          <w:szCs w:val="26"/>
          <w:lang w:val="uk-UA"/>
        </w:rPr>
        <w:t>переписати, а саме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кількість підстав слід </w:t>
      </w:r>
      <w:r w:rsidR="00227C6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з</w:t>
      </w:r>
      <w:r w:rsidR="00227C61">
        <w:rPr>
          <w:rFonts w:ascii="Times New Roman" w:eastAsia="Calibri" w:hAnsi="Times New Roman" w:cs="Times New Roman"/>
          <w:sz w:val="26"/>
          <w:szCs w:val="26"/>
          <w:lang w:val="uk-UA"/>
        </w:rPr>
        <w:t>менш</w:t>
      </w:r>
      <w:r w:rsidR="00227C6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ити 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такі підстави 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не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повинні 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бути пов’язані з процесом прийняття рішень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41C8F396" w14:textId="01066933" w:rsidR="00762C30" w:rsidRPr="001F658A" w:rsidRDefault="006F1B78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</w:p>
    <w:p w14:paraId="4FF195CA" w14:textId="2BA1761E" w:rsidR="00762C30" w:rsidRPr="001F658A" w:rsidRDefault="21FB2D2D" w:rsidP="00227C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в. 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Юстування рішень НКРТ </w:t>
      </w:r>
      <w:r w:rsidR="00D7692C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Міністерством юстиції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14:paraId="552B76C3" w14:textId="11C57985" w:rsidR="006F1B78" w:rsidRPr="001F658A" w:rsidRDefault="0006738B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Частина п’ята с</w:t>
      </w:r>
      <w:r w:rsidR="006F1B7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татт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r w:rsidR="006F1B7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14 проекту </w:t>
      </w:r>
      <w:r w:rsidR="003534F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закону </w:t>
      </w:r>
      <w:r w:rsidR="006F1B7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визначає обов’язкове юстування актів НКРТ 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Міністерством юстиції</w:t>
      </w:r>
      <w:r w:rsidR="006F1B7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14:paraId="498EB675" w14:textId="076665F9" w:rsidR="006D44BF" w:rsidRPr="001F658A" w:rsidRDefault="006D44BF" w:rsidP="006D44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 рекомендаціями </w:t>
      </w:r>
      <w:r w:rsidR="7646934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ОЕСР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</w:t>
      </w:r>
      <w:r w:rsidR="004749B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лише </w:t>
      </w:r>
      <w:r w:rsidR="004818A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керівник регулятора або рада/комісія/board регулятора </w:t>
      </w:r>
      <w:r w:rsidR="0058289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приймають рішення</w:t>
      </w:r>
      <w:r w:rsidR="00350EF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 за які регулятор несе відповідальність</w:t>
      </w:r>
      <w:r w:rsidR="00D7692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6"/>
      </w:r>
      <w:r w:rsidR="00350EF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Зокрема, стаття 56 згаданої 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вище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Директиви визначає, що рішення регулятора є обов’язковими для виконання усіма сторонами, на яких таке рішення поширюється і </w:t>
      </w:r>
      <w:r w:rsidRPr="001F658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не підлягає контролю будь-яко</w:t>
      </w:r>
      <w:r w:rsidR="35139221" w:rsidRPr="001F658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ю</w:t>
      </w:r>
      <w:r w:rsidRPr="001F658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іншою адміністративною інстанцією</w:t>
      </w:r>
      <w:r w:rsidR="00D7692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7"/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5A57D6EB" w14:textId="22789BD7" w:rsidR="006769D8" w:rsidRPr="001F658A" w:rsidRDefault="006D44BF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Юстування Мінюстом кваліфікується як контроль за рішеннями НКРТ, оскільки згідно Положення</w:t>
      </w:r>
      <w:r w:rsidR="006769D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м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 державну реєстрацію</w:t>
      </w:r>
      <w:r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8"/>
      </w:r>
      <w:r w:rsidR="006769D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така процедура полягає у проведенні правової експертизи на відповідність Конституції та законодавству України, Конвенції про захист прав людини і основоположних свобод 1950 року і протоколам до неї, міжнародним договорам України, згоду на обов’язковість яких надано Верховною Радою України, та зобов’язанням України у сфері європейської інтеграції та праву Європейського Союзу (acquis ЄС), антикорупційної та гендерно-правової експертиз з урахуванням практики Європейського суду з прав людини</w:t>
      </w:r>
      <w:r w:rsidR="00D7692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9"/>
      </w:r>
      <w:r w:rsidR="006769D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="00A93838">
        <w:rPr>
          <w:rFonts w:ascii="Times New Roman" w:eastAsia="Calibri" w:hAnsi="Times New Roman" w:cs="Times New Roman"/>
          <w:sz w:val="26"/>
          <w:szCs w:val="26"/>
          <w:lang w:val="uk-UA"/>
        </w:rPr>
        <w:t>Крім</w:t>
      </w:r>
      <w:r w:rsidR="00A9383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6769D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того, згідно з пунктом 11-1 згаданого Положення, Мін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істерство юстиції</w:t>
      </w:r>
      <w:r w:rsidR="006769D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має право не зареєструвати та повернути на доопрацювання нормативно-правовий акт, а НКРТ повинна врахувати усі висловлені зауваження та усунути виявлені порушення.</w:t>
      </w:r>
    </w:p>
    <w:p w14:paraId="6CC349FA" w14:textId="44051F76" w:rsidR="008C21E7" w:rsidRPr="001F658A" w:rsidRDefault="006769D8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Хоча ідея юстування як перевірки актів на дотримання </w:t>
      </w:r>
      <w:r w:rsidR="000428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усіх перелічених стандартів</w:t>
      </w:r>
      <w:r w:rsidR="008C21E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є правильною й такою, що сприяє ро</w:t>
      </w:r>
      <w:r w:rsidR="000428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звитку й утвердженню принципів в</w:t>
      </w:r>
      <w:r w:rsidR="008C21E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ерховенства права, демократії та поваги до прав людини, </w:t>
      </w:r>
      <w:r w:rsidR="000428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але по суті</w:t>
      </w:r>
      <w:r w:rsidR="008C21E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ця процедура стане інструментом урядового контролю над рішеннями НКРТ. </w:t>
      </w:r>
    </w:p>
    <w:p w14:paraId="14D14B09" w14:textId="0D0221CC" w:rsidR="008C21E7" w:rsidRPr="001F658A" w:rsidRDefault="008C21E7" w:rsidP="008C21E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Відсутність контролю над рішеннями будь-якою іншою адміністративною інстанцією – це гарантія незалежності, яка вже реалізована для аналогічного регулятора у сфері енергетики – Національної комісії, що здійснює державне регулювання у сферах енергетики та комунальних послуг (далі – «НКРЕКП»). Зокрема, частина шоста статті 14 відповідного закону</w:t>
      </w:r>
      <w:r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10"/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стверджує, що рішення НКРЕКП не підлягають державній реєстрації Міністерством юстиції України і відсутність такої реєстрації рішень не є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підставою для відмови суду у прийнятті заяви про їх оскарження. Подібно до </w:t>
      </w:r>
      <w:r w:rsidR="0006738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положення п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ро незалежність залізничного регулятора</w:t>
      </w:r>
      <w:r w:rsidR="0006738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у Директиві 2012/34/</w:t>
      </w:r>
      <w:r w:rsidR="000428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ЄС</w:t>
      </w:r>
      <w:r w:rsidR="0006738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 незалежність енергетичного регулятора також була вимогою</w:t>
      </w:r>
      <w:r w:rsidR="0030135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Директив 2009/72/EC</w:t>
      </w:r>
      <w:r w:rsidR="0029794F" w:rsidRPr="001F658A">
        <w:rPr>
          <w:rStyle w:val="af0"/>
          <w:lang w:val="uk-UA"/>
        </w:rPr>
        <w:footnoteReference w:id="11"/>
      </w:r>
      <w:r w:rsidR="0018478D" w:rsidRPr="001F658A">
        <w:rPr>
          <w:lang w:val="uk-UA"/>
        </w:rPr>
        <w:t xml:space="preserve"> </w:t>
      </w:r>
      <w:r w:rsidR="002A6A1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та 2009/73/EC.</w:t>
      </w:r>
      <w:r w:rsidR="0095736B" w:rsidRPr="001F658A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footnoteReference w:id="12"/>
      </w:r>
    </w:p>
    <w:p w14:paraId="62E14AD2" w14:textId="07FF3FFB" w:rsidR="006769D8" w:rsidRPr="001F658A" w:rsidRDefault="0006738B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Отже, процедура юстування актів НКРТ </w:t>
      </w:r>
      <w:r w:rsidR="00D7692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Міністерством юстиції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є загрозою незалежності органу та суперечить вимогам Директиви 2012/34/</w:t>
      </w:r>
      <w:r w:rsidR="000428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ЄС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а отже відповідні положення </w:t>
      </w:r>
      <w:r w:rsidR="00690695">
        <w:rPr>
          <w:rFonts w:ascii="Times New Roman" w:eastAsia="Calibri" w:hAnsi="Times New Roman" w:cs="Times New Roman"/>
          <w:sz w:val="26"/>
          <w:szCs w:val="26"/>
          <w:lang w:val="uk-UA"/>
        </w:rPr>
        <w:t>мають</w:t>
      </w:r>
      <w:r w:rsidR="0069069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бути змінені. </w:t>
      </w:r>
    </w:p>
    <w:p w14:paraId="424C0207" w14:textId="20951407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58D1148A" w14:textId="76C2350F" w:rsidR="00762C30" w:rsidRPr="001F658A" w:rsidRDefault="22D7F72E" w:rsidP="00227C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г. </w:t>
      </w:r>
      <w:r w:rsidR="0011686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Погодження прое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ктів актів в Державній регуляторній службі </w:t>
      </w:r>
      <w:r w:rsidR="0006738B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становить 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так</w:t>
      </w:r>
      <w:r w:rsidR="0006738B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ж загроз</w:t>
      </w:r>
      <w:r w:rsidR="0006738B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незалежності, як і юстування </w:t>
      </w:r>
      <w:r w:rsidR="00D7692C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Міністерством юстиції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6533731C" w14:textId="3CE06ABA" w:rsidR="00334D8C" w:rsidRPr="001F658A" w:rsidRDefault="006F1B78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прикінцевих та перехідних положеннях НКРТ не виведено з-під дії Д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ержавної регуляторної служби (далі – «ДРС»), а це означає, що НКРТ не зможе прийняти рішення допоки ДРС не погодить </w:t>
      </w:r>
      <w:r w:rsidR="000428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проект акта</w:t>
      </w:r>
      <w:r w:rsidR="00845596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порядку, визначеному статтею 21 Закону України «</w:t>
      </w:r>
      <w:r w:rsidR="00CA30C3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Про засади державної регуляторної політики у сфері господарської діяльності</w:t>
      </w:r>
      <w:r w:rsidR="00845596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»</w:t>
      </w:r>
      <w:r w:rsidR="0006738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="00992A26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ДРС може відмовити у погодженні регуляторного акта</w:t>
      </w:r>
      <w:r w:rsidR="00A501E0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13"/>
      </w:r>
      <w:r w:rsidR="00A501E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така відмова означає, що регуляторний акт не може бути прийнятий або схвалений уповноваженим на це органом виконавчої влади або його посадовою особою</w:t>
      </w:r>
      <w:r w:rsidR="0004287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14"/>
      </w:r>
      <w:r w:rsidR="00A501E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="006359F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14:paraId="45504DE0" w14:textId="23D9789B" w:rsidR="00302C6F" w:rsidRPr="001F658A" w:rsidRDefault="00334D8C" w:rsidP="00302C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Такі положення дозволяють ДРС безпосередньо контролювати рішення </w:t>
      </w:r>
      <w:r w:rsidR="00302C6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НКРТ і прямо суперечить вимогам Директиви 2012/34/</w:t>
      </w:r>
      <w:r w:rsidR="000428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ЄС</w:t>
      </w:r>
      <w:r w:rsidR="00302C6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а отже </w:t>
      </w:r>
      <w:r w:rsidR="00A4118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</w:t>
      </w:r>
      <w:r w:rsidR="00302C6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рикінцев</w:t>
      </w:r>
      <w:r w:rsidR="00BF05C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ими </w:t>
      </w:r>
      <w:r w:rsidR="00302C6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та перехідни</w:t>
      </w:r>
      <w:r w:rsidR="00BF05C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ми</w:t>
      </w:r>
      <w:r w:rsidR="00302C6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положення</w:t>
      </w:r>
      <w:r w:rsidR="00BF05C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ми</w:t>
      </w:r>
      <w:r w:rsidR="00302C6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законопроекту</w:t>
      </w:r>
      <w:r w:rsidR="00BF05C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повинні бути внесені зміни до</w:t>
      </w:r>
      <w:r w:rsidR="00C902F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Закону України «Про засади державної регуляторної політики у сфері господарської діяльності», якими </w:t>
      </w:r>
      <w:r w:rsidR="0074268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НКРТ буде виведено з-під дії </w:t>
      </w:r>
      <w:r w:rsidR="00B0528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цього закону.</w:t>
      </w:r>
    </w:p>
    <w:p w14:paraId="02913815" w14:textId="77777777" w:rsidR="006F1B78" w:rsidRPr="001F658A" w:rsidRDefault="006F1B78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6C268A97" w14:textId="77777777" w:rsidR="00762C30" w:rsidRPr="001F658A" w:rsidRDefault="00762C30" w:rsidP="003D3E4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Непередбачуваність регулювання для бізнесу</w:t>
      </w:r>
    </w:p>
    <w:p w14:paraId="05E6E489" w14:textId="68F49C8F" w:rsidR="0006738B" w:rsidRPr="001F658A" w:rsidRDefault="0006738B" w:rsidP="001649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Законопроект містить низку </w:t>
      </w:r>
      <w:r w:rsidR="0016494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положень, які не відповідають принципу визначеності правової норми, та не дозволяють особі передбачити наслідки регулювання, зокрема: </w:t>
      </w:r>
    </w:p>
    <w:p w14:paraId="4B2ECAFF" w14:textId="77777777" w:rsidR="00B05285" w:rsidRPr="001F658A" w:rsidRDefault="00B05285" w:rsidP="001649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1FD5C2E6" w14:textId="67AEC19F" w:rsidR="00164940" w:rsidRPr="001F658A" w:rsidRDefault="6FE297CD" w:rsidP="00227C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а. </w:t>
      </w:r>
      <w:r w:rsidR="0016494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Розмиті положення, які дозволяють уникнути громадського обговорення регуляторного акта.</w:t>
      </w:r>
    </w:p>
    <w:p w14:paraId="451F9F1A" w14:textId="1268758C" w:rsidR="00164940" w:rsidRPr="001F658A" w:rsidRDefault="00164940" w:rsidP="001649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Стаття 14 п</w:t>
      </w:r>
      <w:r w:rsidR="00E774C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рое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кт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69069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закону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дозволяє </w:t>
      </w:r>
      <w:r w:rsidR="00E774C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уникнути публікації прое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кту регуляторного акта та обговорення його положень з бізнесом і громадськістю, якщо «виникають надзвичайні ситуації та інші невідкладні випадки</w:t>
      </w:r>
      <w:r w:rsidR="0023228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 передбачені законом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». </w:t>
      </w:r>
    </w:p>
    <w:p w14:paraId="4D66BF4A" w14:textId="2729D000" w:rsidR="00932D01" w:rsidRPr="001F658A" w:rsidRDefault="00762C30" w:rsidP="001A48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Таке розмите регулювання дозвол</w:t>
      </w:r>
      <w:r w:rsidR="009C4AF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яє НКРТ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не виконувати вимоги щодо прозорості</w:t>
      </w:r>
      <w:r w:rsidR="009C4AF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громадського обговорення</w:t>
      </w:r>
      <w:r w:rsidR="009A55D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:</w:t>
      </w:r>
    </w:p>
    <w:p w14:paraId="5ABBD3BE" w14:textId="08AA6AEC" w:rsidR="00832E9C" w:rsidRPr="001F658A" w:rsidRDefault="009A55D0" w:rsidP="00832E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По-перше, «інші невідкладні випадки, передбачені законом» </w:t>
      </w:r>
      <w:r w:rsidR="00E84D4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не визначені законом про НКРТ</w:t>
      </w:r>
      <w:r w:rsidR="007C14F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з тексту норми неможливо встановити</w:t>
      </w:r>
      <w:r w:rsidR="00D12B5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</w:t>
      </w:r>
      <w:r w:rsidR="007C14F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яким саме законом </w:t>
      </w:r>
      <w:r w:rsidR="000D39D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передбачені такі невідкладні випадк</w:t>
      </w:r>
      <w:r w:rsidR="00BD183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и</w:t>
      </w:r>
      <w:r w:rsidR="00DB166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 В</w:t>
      </w:r>
      <w:r w:rsidR="00BD183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ласне, т</w:t>
      </w:r>
      <w:r w:rsidR="000D39D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ермін </w:t>
      </w:r>
      <w:r w:rsidR="00AA517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«</w:t>
      </w:r>
      <w:r w:rsidR="000D39D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невідкладний випадок»</w:t>
      </w:r>
      <w:r w:rsidR="00832E9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вживається </w:t>
      </w:r>
      <w:r w:rsidR="007437F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у різних значеннях у 3766 нормативно-правових актах</w:t>
      </w:r>
      <w:r w:rsidR="0004287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15"/>
      </w:r>
      <w:r w:rsidR="00BD183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20890A7D" w14:textId="08DC9918" w:rsidR="00BD1838" w:rsidRPr="001F658A" w:rsidRDefault="00BD1838" w:rsidP="0E8776B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E8776BF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По-друге, наявність надзвичайної ситуації є підставою </w:t>
      </w:r>
      <w:r w:rsidR="2201C0E2" w:rsidRPr="0E8776B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не для уникнення прозорого обговорення регулювання, а </w:t>
      </w:r>
      <w:r w:rsidRPr="0E8776BF">
        <w:rPr>
          <w:rFonts w:ascii="Times New Roman" w:eastAsia="Calibri" w:hAnsi="Times New Roman" w:cs="Times New Roman"/>
          <w:sz w:val="26"/>
          <w:szCs w:val="26"/>
          <w:lang w:val="uk-UA"/>
        </w:rPr>
        <w:t>для</w:t>
      </w:r>
      <w:r w:rsidR="29146B3D" w:rsidRPr="0E8776B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того, щоб уповноважені Кодексом цивільного захисту органи могли ефективно р</w:t>
      </w:r>
      <w:r w:rsidR="2AE1D4D0" w:rsidRPr="0E8776BF">
        <w:rPr>
          <w:rFonts w:ascii="Times New Roman" w:eastAsia="Calibri" w:hAnsi="Times New Roman" w:cs="Times New Roman"/>
          <w:sz w:val="26"/>
          <w:szCs w:val="26"/>
          <w:lang w:val="uk-UA"/>
        </w:rPr>
        <w:t>еагувати на надзвичайні ситуації та мінімізувати їхні наслідки.</w:t>
      </w:r>
      <w:r w:rsidR="38D1E0E9" w:rsidRPr="0E8776B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14:paraId="3AD6C965" w14:textId="77777777" w:rsidR="00227C61" w:rsidRDefault="00304ADC" w:rsidP="00227C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Д</w:t>
      </w:r>
      <w:r w:rsidR="009C4AF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 прикладу, </w:t>
      </w:r>
      <w:r w:rsidR="00557FB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НКРТ зможе не виконувати вимоги щодо прозорості громадського обговорення </w:t>
      </w:r>
      <w:r w:rsidR="009C4AF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протягом усього часу пандемії COVID-19</w:t>
      </w:r>
      <w:r w:rsidR="0016494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оскільки, згідно з Кодексом цивільного захисту України, це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надзвичайна ситуація спричинена епідемією</w:t>
      </w:r>
      <w:r w:rsidR="00973C14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(пандемією)</w:t>
      </w:r>
      <w:r w:rsidR="0004287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04287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16"/>
      </w:r>
      <w:r w:rsidR="0016494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14:paraId="2CD20A1B" w14:textId="577EE9A8" w:rsidR="009735A7" w:rsidRPr="001F658A" w:rsidRDefault="00557FBB" w:rsidP="00227C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Водночас, з</w:t>
      </w:r>
      <w:r w:rsidR="0069357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бройн</w:t>
      </w:r>
      <w:r w:rsidR="00ED3EC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а</w:t>
      </w:r>
      <w:r w:rsidR="0069357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6D66A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агресі</w:t>
      </w:r>
      <w:r w:rsidR="00ED3EC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я</w:t>
      </w:r>
      <w:r w:rsidR="0069357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РФ</w:t>
      </w:r>
      <w:r w:rsidR="006D66A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Криму та на </w:t>
      </w:r>
      <w:r w:rsidR="00923A4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Сході України </w:t>
      </w:r>
      <w:r w:rsidR="00ED3EC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також кваліфікуються за Кодексом цивільного захисту України як</w:t>
      </w:r>
      <w:r w:rsidR="00F716E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воєнна</w:t>
      </w:r>
      <w:r w:rsidR="00ED3EC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надзвичайна ситуація</w:t>
      </w:r>
      <w:r w:rsidR="00F716E1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17"/>
      </w:r>
      <w:r w:rsidR="00B9595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а наслідки </w:t>
      </w:r>
      <w:r w:rsidR="00A86A4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агресії </w:t>
      </w:r>
      <w:r w:rsidR="000428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як</w:t>
      </w:r>
      <w:r w:rsidR="005A3163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CA20C4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внутрішнє переміщення осіб </w:t>
      </w:r>
      <w:r w:rsidR="0044733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є підставою для виникнення соціальної надзвичайної ситуації</w:t>
      </w:r>
      <w:r w:rsidR="0004287C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18"/>
      </w:r>
      <w:r w:rsidR="0044733E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="00091E94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C4323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Це означає, що протягом 6 років триваючої війни</w:t>
      </w:r>
      <w:r w:rsidR="004504A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</w:t>
      </w:r>
      <w:r w:rsidR="00E75EB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E9690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протягом тривалого часу подолання її наслідків</w:t>
      </w:r>
      <w:r w:rsidR="0030787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</w:t>
      </w:r>
      <w:r w:rsidR="00E9690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4504A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НКРТ змогла б</w:t>
      </w:r>
      <w:r w:rsidR="00E9690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зможе</w:t>
      </w:r>
      <w:r w:rsidR="004504A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приймати рішення</w:t>
      </w:r>
      <w:r w:rsidR="009735A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без громадського обговорення. </w:t>
      </w:r>
    </w:p>
    <w:p w14:paraId="502499D4" w14:textId="1C97DBEB" w:rsidR="005809CC" w:rsidRPr="001F658A" w:rsidRDefault="001A48F8" w:rsidP="001A48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Хоча перелічені ситуації мають надзвичайний характер</w:t>
      </w:r>
      <w:r w:rsidR="001848E3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потребують особливого правового режиму, </w:t>
      </w:r>
      <w:r w:rsidR="0045406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регуляторн</w:t>
      </w:r>
      <w:r w:rsidR="006D221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 нормативно-правові акти</w:t>
      </w:r>
      <w:r w:rsidR="00E9690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НКРТ</w:t>
      </w:r>
      <w:r w:rsidR="00C360B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 особливо т</w:t>
      </w:r>
      <w:r w:rsidR="005809C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r w:rsidR="00C360B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, які мають постійний характер, повинні прийматися з дотриманням усіх</w:t>
      </w:r>
      <w:r w:rsidR="005809C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вимог прозорості</w:t>
      </w:r>
      <w:r w:rsidR="00BC5694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 Тому норми</w:t>
      </w:r>
      <w:r w:rsidR="007C7A46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які дозволяють уникнути публікації акта для громадського обговорення, </w:t>
      </w:r>
      <w:r w:rsidR="00690695">
        <w:rPr>
          <w:rFonts w:ascii="Times New Roman" w:eastAsia="Calibri" w:hAnsi="Times New Roman" w:cs="Times New Roman"/>
          <w:sz w:val="26"/>
          <w:szCs w:val="26"/>
          <w:lang w:val="uk-UA"/>
        </w:rPr>
        <w:t>краще</w:t>
      </w:r>
      <w:r w:rsidR="0069069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690695">
        <w:rPr>
          <w:rFonts w:ascii="Times New Roman" w:eastAsia="Calibri" w:hAnsi="Times New Roman" w:cs="Times New Roman"/>
          <w:sz w:val="26"/>
          <w:szCs w:val="26"/>
          <w:lang w:val="uk-UA"/>
        </w:rPr>
        <w:t>вилучити</w:t>
      </w:r>
      <w:r w:rsidR="007C7A46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 тексту проекту.</w:t>
      </w:r>
      <w:r w:rsidR="005809C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14:paraId="0E27B00A" w14:textId="77777777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5337C31C" w14:textId="05873F04" w:rsidR="00E96909" w:rsidRPr="001F658A" w:rsidRDefault="7D113DF5" w:rsidP="00227C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б. 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Відсутній поряд</w:t>
      </w:r>
      <w:r w:rsidR="007C7A46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о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>к делегування</w:t>
      </w:r>
      <w:r w:rsidR="007C7A46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громадськими організаціями </w:t>
      </w:r>
      <w:r w:rsidR="00762C30" w:rsidRPr="40BAAC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кандидатур до конкурсної комісії. </w:t>
      </w:r>
    </w:p>
    <w:p w14:paraId="64BAF603" w14:textId="77777777" w:rsidR="002D57A7" w:rsidRPr="001F658A" w:rsidRDefault="00E96909" w:rsidP="002D57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Стаття 9 проекту закону </w:t>
      </w:r>
      <w:r w:rsidR="00A6490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встановлює, що до Конкурсної комісії з відбору членів НКРТ увійдуть </w:t>
      </w:r>
      <w:r w:rsidR="007B157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«дві особи – за поданням громадськості, з яких одна від Федерації роботодавців транспорту України, а інша - в особі громадських організацій, об’єднань, асоціацій в сфері транспорту та в галузях, які є споживачами відповідних послуг, пропозиції від яких надаються до Кабінету Міністрів України</w:t>
      </w:r>
      <w:r w:rsidR="005470A9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». </w:t>
      </w:r>
    </w:p>
    <w:p w14:paraId="388CFC92" w14:textId="27730888" w:rsidR="005470A9" w:rsidRPr="001F658A" w:rsidRDefault="00454C9A" w:rsidP="002D57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Необґрунтована перевага</w:t>
      </w:r>
      <w:r w:rsidR="00BC17A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однієї громадської організації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5C411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(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Федерації ро</w:t>
      </w:r>
      <w:r w:rsidR="00BC17A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ботодавців транспорту України</w:t>
      </w:r>
      <w:r w:rsidR="005C411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="005C4118" w:rsidRPr="001F658A">
        <w:rPr>
          <w:rStyle w:val="af0"/>
          <w:rFonts w:ascii="Times New Roman" w:eastAsia="Calibri" w:hAnsi="Times New Roman" w:cs="Times New Roman"/>
          <w:sz w:val="26"/>
          <w:szCs w:val="26"/>
          <w:lang w:val="uk-UA"/>
        </w:rPr>
        <w:footnoteReference w:id="19"/>
      </w:r>
      <w:r w:rsidR="002D57A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відсутність будь-яких вимог щодо інших громадських організацій, тривалості їхнього існування, </w:t>
      </w:r>
      <w:r w:rsidR="00C25CD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кількості учасників чи </w:t>
      </w:r>
      <w:r w:rsidR="0030787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представників</w:t>
      </w:r>
      <w:r w:rsidR="00C25CD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</w:t>
      </w:r>
      <w:r w:rsidR="00707BA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відсутність порядку подання таки</w:t>
      </w:r>
      <w:r w:rsidR="002B7063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х кандидатур та критеріїв, за якими </w:t>
      </w:r>
      <w:r w:rsidR="0030787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 М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іністрів України</w:t>
      </w:r>
      <w:r w:rsidR="002B7063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має обрати одну особу до Конкурсної комісії дозволяє припустити, що така участь «громадськості» </w:t>
      </w:r>
      <w:r w:rsidR="005F7ED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 </w:t>
      </w:r>
      <w:r w:rsidR="00C22F8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</w:t>
      </w:r>
      <w:r w:rsidR="005F7ED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онкурсній комісії </w:t>
      </w:r>
      <w:r w:rsidR="00C22F8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жодним чином не забезпечить балансу інтересів</w:t>
      </w:r>
      <w:r w:rsidR="008913E7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а </w:t>
      </w:r>
      <w:r w:rsidR="000B4D8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серед поданих кандидатур буде обрана найбільш лояльна до </w:t>
      </w:r>
      <w:r w:rsidR="0030787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Кабінету М</w:t>
      </w:r>
      <w:r w:rsidR="00F47188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іністрів України</w:t>
      </w:r>
      <w:r w:rsidR="000B4D8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14:paraId="4751A52E" w14:textId="44FDA9A8" w:rsidR="000B4D8F" w:rsidRPr="001F658A" w:rsidRDefault="009E6D80" w:rsidP="002D57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Участь громадських об’єднань </w:t>
      </w:r>
      <w:r w:rsidR="00C579C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 Конкурсній комісії є необхідним, проте задля дотримання балансу інтересів та репрезентативності усіх учасників ринку та споживачів, </w:t>
      </w:r>
      <w:r w:rsidR="00C579CB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пропонуємо включити </w:t>
      </w:r>
      <w:r w:rsidR="00F8021A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таких представників лише від саморегулівних організацій, </w:t>
      </w:r>
      <w:r w:rsidR="0048263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вимоги до яких повинні бути закріплені окремим законом. </w:t>
      </w:r>
    </w:p>
    <w:p w14:paraId="60061E4C" w14:textId="77777777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2350FB76" w14:textId="345E14B0" w:rsidR="003513FB" w:rsidRPr="001F658A" w:rsidRDefault="00762C30" w:rsidP="009F4E7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Фінансування НКРТ за рахунок внесків лише суб’єктів природних монополій</w:t>
      </w:r>
      <w:r w:rsidR="0048263F"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,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48263F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визначене статтею 11 законопроекту,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означає, що орган буде зацікавлений у тому, щоб саме природні монополії отримували більший дохід і, відповідно, встановлюватиме максимально високі тарифи на послуги, які надаються такими суб’єктами.</w:t>
      </w:r>
      <w:r w:rsidR="009F4E7D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0E7CF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 моделі </w:t>
      </w:r>
      <w:r w:rsidR="00602B9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фінансування «за рахунок лише природних монополій» </w:t>
      </w:r>
      <w:r w:rsidR="000E7CF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постраждають, перш за все, </w:t>
      </w:r>
      <w:r w:rsidR="00602B9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суб’єкт</w:t>
      </w:r>
      <w:r w:rsidR="000E7CF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и</w:t>
      </w:r>
      <w:r w:rsidR="00602B9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суміжних ринків, </w:t>
      </w:r>
      <w:r w:rsidR="000E7CF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оскільки саме вони пер</w:t>
      </w:r>
      <w:r w:rsidR="00671A2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шими відчують збільшення тарифів суб’єктів природних монополій</w:t>
      </w:r>
      <w:r w:rsidR="009F4E7D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3B913E28" w14:textId="11629964" w:rsidR="009F4E7D" w:rsidRPr="001F658A" w:rsidRDefault="009F4E7D" w:rsidP="009F4E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На противагу запропонованій моделі, пропонуємо, щоб Регулятор функціонував за рахунок внесків як суб’єктів природніх монополій, так і суміжних ринків. У такому разі, НКРТ матиме інтерес в тому, щоб суміжні ринки розвивалися, отримували більший прибуток, і сплачували більші внески на регулювання.</w:t>
      </w:r>
    </w:p>
    <w:p w14:paraId="65E2E0D0" w14:textId="77777777" w:rsidR="003513FB" w:rsidRPr="001F658A" w:rsidRDefault="003513FB" w:rsidP="003513FB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35FF8282" w14:textId="77777777" w:rsidR="00762C30" w:rsidRPr="001F658A" w:rsidRDefault="00762C30" w:rsidP="003D3E4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Не передбачено відповідальності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за невиконання вимог Регулятора бізнесом, не передбачено (не уточнено) положення про персональну відповідальність членів Регулятора.</w:t>
      </w:r>
    </w:p>
    <w:p w14:paraId="797559A6" w14:textId="77777777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Зокрема, блок «відповідальність» у </w:t>
      </w:r>
      <w:r w:rsidR="00FA03A4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законо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проекті BRDO містить зміни </w:t>
      </w:r>
      <w:r w:rsidR="00AB179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до КУп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АП, КАС, КК та КПК.  </w:t>
      </w:r>
    </w:p>
    <w:p w14:paraId="4B94D5A5" w14:textId="77777777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070847F3" w14:textId="77777777" w:rsidR="00762C30" w:rsidRPr="001F658A" w:rsidRDefault="00762C30" w:rsidP="003D3E4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Гарантії незалежності НКРТ потребують додаткових змін до законів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«Про комітети ВРУ», «Про політичні партії в Україні», «Про засади державної регуляторної політики у сфері господарської діяльності», «Про основні засади державного нагляду (контролю) у сфері господарської діяльності», «Про запобігання корупції», «Про оплату праці», «Про місцеве самоврядування в Україні», «Про державну службу».</w:t>
      </w:r>
    </w:p>
    <w:p w14:paraId="29D6B04F" w14:textId="001A5BE1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14:paraId="11C3C9E2" w14:textId="4204867E" w:rsidR="00762C30" w:rsidRPr="001F658A" w:rsidRDefault="7F8C0D0D" w:rsidP="003D3E4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Не</w:t>
      </w:r>
      <w:r w:rsidR="00762C30"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доліки структури проекту</w:t>
      </w:r>
    </w:p>
    <w:p w14:paraId="5EE2C754" w14:textId="7AA0D66D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Законопроект написаний за зразком закону «Про НКРЕКП» і зберіг частину його недоліків, зокрема довгі статі та частков</w:t>
      </w:r>
      <w:r w:rsidR="0013055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відсутність нумерації частин/абзаців. До прикладу, стаття 9, яка стосується особливостей призначення, припинення повноважень та правового статусу членів НКРТ </w:t>
      </w:r>
      <w:r w:rsidR="009E378C">
        <w:rPr>
          <w:rFonts w:ascii="Times New Roman" w:eastAsia="Calibri" w:hAnsi="Times New Roman" w:cs="Times New Roman"/>
          <w:sz w:val="26"/>
          <w:szCs w:val="26"/>
          <w:lang w:val="uk-UA"/>
        </w:rPr>
        <w:t>викладається</w:t>
      </w:r>
      <w:r w:rsidR="009E378C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 </w:t>
      </w:r>
      <w:r w:rsidRPr="001F65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8 сторін</w:t>
      </w:r>
      <w:r w:rsidR="009E378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ках</w:t>
      </w:r>
      <w:r w:rsidR="4BC7FFC8" w:rsidRPr="001F65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без чіткої нумерації абзаців. </w:t>
      </w:r>
    </w:p>
    <w:p w14:paraId="6F1B9427" w14:textId="5091B004" w:rsidR="00762C30" w:rsidRPr="001F658A" w:rsidRDefault="00227C61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Хоча ц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е питання</w:t>
      </w:r>
      <w:r w:rsidR="0030787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законодавчої техніки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проте </w:t>
      </w:r>
      <w:r w:rsidR="00762C30" w:rsidRPr="001F658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його не можна буде виправити правками до другого читання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згідно з </w:t>
      </w:r>
      <w:r w:rsidR="00D87DD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статтею 102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Регламент</w:t>
      </w:r>
      <w:r w:rsidR="00D87DD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987685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ВРУ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прийняття проекту у першому читанні означає, що структура законопроекту </w:t>
      </w:r>
      <w:r w:rsidR="00130552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є </w:t>
      </w:r>
      <w:r w:rsidR="0030787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схваленою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правками до другого читання її не можна змінювати. У </w:t>
      </w:r>
      <w:r w:rsidR="00FA03A4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законопрое</w:t>
      </w:r>
      <w:r w:rsidR="00AB1791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кті 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BRDO усі </w:t>
      </w:r>
      <w:r w:rsidR="00FA03A4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>положення закону «Про НКРЕКП», які брались за основу, скориговані</w:t>
      </w:r>
      <w:r w:rsidR="00762C30" w:rsidRPr="001F65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   </w:t>
      </w:r>
    </w:p>
    <w:p w14:paraId="3DEEC669" w14:textId="77777777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58DBD727" w14:textId="5C437E21" w:rsidR="00762C30" w:rsidRPr="001F658A" w:rsidRDefault="33AA28A5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2A464094">
        <w:rPr>
          <w:rFonts w:ascii="Times New Roman" w:eastAsia="Calibri" w:hAnsi="Times New Roman" w:cs="Times New Roman"/>
          <w:sz w:val="26"/>
          <w:szCs w:val="26"/>
          <w:lang w:val="uk-UA"/>
        </w:rPr>
        <w:t>В зв'язку із цим,</w:t>
      </w:r>
      <w:r w:rsidR="136C934C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з</w:t>
      </w:r>
      <w:r w:rsidR="00762C30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міни</w:t>
      </w:r>
      <w:r w:rsidR="56491F84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що мають бути внесені законопроектом</w:t>
      </w:r>
      <w:r w:rsidR="00762C30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до інших законів (перелічен</w:t>
      </w:r>
      <w:r w:rsidR="4598031C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і</w:t>
      </w:r>
      <w:r w:rsidR="00762C30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у пунктах 5 та 6)</w:t>
      </w:r>
      <w:r w:rsidR="5E2DA8D1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, </w:t>
      </w:r>
      <w:r w:rsidR="00762C30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доведеться оформлювати </w:t>
      </w:r>
      <w:r w:rsidR="00987685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окремим</w:t>
      </w:r>
      <w:r w:rsidR="00762C30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законопроект</w:t>
      </w:r>
      <w:r w:rsidR="00987685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ом</w:t>
      </w:r>
      <w:r w:rsidR="00762C30" w:rsidRPr="2A464094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. </w:t>
      </w:r>
    </w:p>
    <w:p w14:paraId="3656B9AB" w14:textId="77777777" w:rsidR="00762C30" w:rsidRPr="001F658A" w:rsidRDefault="00762C30" w:rsidP="003D3E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2450C390" w14:textId="3AB74898" w:rsidR="472A1ADB" w:rsidRDefault="472A1ADB" w:rsidP="472A1ADB">
      <w:pPr>
        <w:spacing w:line="257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E95F8C0" w14:textId="6F2080DA" w:rsidR="7B666C93" w:rsidRDefault="7B666C93" w:rsidP="00124373">
      <w:pPr>
        <w:spacing w:line="257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/>
        </w:rPr>
      </w:pPr>
      <w:r w:rsidRPr="472A1A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Зважаючи на викладене вище, прийняття законопроекту 3927 за основу і в цілому містить ризики створення органу всупереч Конституції та праву ЄС. Прийняття закону з неконституційними нормами містить ризик, за яким робота новоствореного органу </w:t>
      </w:r>
      <w:r w:rsidRPr="472A1A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/>
        </w:rPr>
        <w:t xml:space="preserve">може </w:t>
      </w:r>
      <w:r w:rsidRPr="472A1A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/>
        </w:rPr>
        <w:lastRenderedPageBreak/>
        <w:t>бути заблокована</w:t>
      </w:r>
      <w:r w:rsidRPr="472A1A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частково чи повністю Конституційним судом у будь-який момент. Відсутність достатніх гарантій незалежності органу та його членів відповідно до вимог Директив несе ризик, що </w:t>
      </w:r>
      <w:r w:rsidRPr="472A1A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/>
        </w:rPr>
        <w:t>неупередженість та безсторонність регулювання не буде забезпечена.</w:t>
      </w:r>
    </w:p>
    <w:p w14:paraId="57CA41C3" w14:textId="023380E4" w:rsidR="7B666C93" w:rsidRDefault="7B666C93" w:rsidP="00124373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472A1A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Такі ризики можливо усунути шляхом:</w:t>
      </w:r>
    </w:p>
    <w:p w14:paraId="2C663B21" w14:textId="4A186766" w:rsidR="7B666C93" w:rsidRDefault="7B666C93" w:rsidP="00124373">
      <w:pPr>
        <w:pStyle w:val="ac"/>
        <w:numPr>
          <w:ilvl w:val="0"/>
          <w:numId w:val="5"/>
        </w:numPr>
        <w:spacing w:line="257" w:lineRule="auto"/>
        <w:jc w:val="both"/>
        <w:rPr>
          <w:rFonts w:eastAsiaTheme="minorEastAsia"/>
          <w:color w:val="000000" w:themeColor="text1"/>
          <w:sz w:val="26"/>
          <w:szCs w:val="26"/>
          <w:lang w:val="uk-UA"/>
        </w:rPr>
      </w:pPr>
      <w:r w:rsidRPr="472A1A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відкликання законопроекту 3927 і реєстрації доопрацьованого з урахуванням</w:t>
      </w:r>
      <w:r w:rsidRPr="472A1A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усіх вказаних положень;</w:t>
      </w:r>
    </w:p>
    <w:p w14:paraId="67D3C0A2" w14:textId="4A0645B1" w:rsidR="7B666C93" w:rsidRDefault="7B666C93" w:rsidP="00124373">
      <w:pPr>
        <w:pStyle w:val="ac"/>
        <w:numPr>
          <w:ilvl w:val="0"/>
          <w:numId w:val="5"/>
        </w:numPr>
        <w:spacing w:line="257" w:lineRule="auto"/>
        <w:jc w:val="both"/>
        <w:rPr>
          <w:rFonts w:eastAsiaTheme="minorEastAsia"/>
          <w:color w:val="000000" w:themeColor="text1"/>
          <w:sz w:val="26"/>
          <w:szCs w:val="26"/>
          <w:lang w:val="uk-UA"/>
        </w:rPr>
      </w:pPr>
      <w:r w:rsidRPr="472A1A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реєстрації альтернативного законопроекту;</w:t>
      </w:r>
    </w:p>
    <w:p w14:paraId="15BCCF6C" w14:textId="6D6CFE47" w:rsidR="7B666C93" w:rsidRDefault="7B666C93" w:rsidP="00124373">
      <w:pPr>
        <w:pStyle w:val="ac"/>
        <w:numPr>
          <w:ilvl w:val="0"/>
          <w:numId w:val="5"/>
        </w:numPr>
        <w:spacing w:line="257" w:lineRule="auto"/>
        <w:jc w:val="both"/>
        <w:rPr>
          <w:rFonts w:eastAsiaTheme="minorEastAsia"/>
          <w:color w:val="000000" w:themeColor="text1"/>
          <w:sz w:val="26"/>
          <w:szCs w:val="26"/>
          <w:lang w:val="uk-UA"/>
        </w:rPr>
      </w:pPr>
      <w:r w:rsidRPr="472A1A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суттєвого доопрацювання положень законопроекту при підготовці проекту 3927 до другого читання.</w:t>
      </w:r>
    </w:p>
    <w:p w14:paraId="01CF1AA6" w14:textId="7AAB817B" w:rsidR="7B666C93" w:rsidRDefault="7B666C93" w:rsidP="00124373">
      <w:p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472A1A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Незалежно від обраної альтернативи, експерти BRDO готові співпрацювати та забезпечити аналітичну та юридичну підтримку законопроекту задля створення незалежного та стабільного регулятора.</w:t>
      </w:r>
    </w:p>
    <w:p w14:paraId="7BF97F9B" w14:textId="2B8CE92F" w:rsidR="472A1ADB" w:rsidRDefault="472A1ADB" w:rsidP="472A1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14:paraId="049F31CB" w14:textId="77777777" w:rsidR="0086096E" w:rsidRDefault="0086096E" w:rsidP="003D3E4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2C31684F" w14:textId="77777777" w:rsidR="007A0B04" w:rsidRDefault="007A0B04" w:rsidP="003D3E4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0795A50" w14:textId="77777777" w:rsidR="007A0B04" w:rsidRDefault="007A0B04" w:rsidP="003D3E4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0053D05A" w14:textId="6642EBF4" w:rsidR="007A0B04" w:rsidRPr="00AA2D90" w:rsidRDefault="007A0B04" w:rsidP="003D3E4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  <w:t>Дорогань О.Д.</w:t>
      </w:r>
    </w:p>
    <w:sectPr w:rsidR="007A0B04" w:rsidRPr="00AA2D90" w:rsidSect="00275C5C">
      <w:headerReference w:type="default" r:id="rId8"/>
      <w:headerReference w:type="first" r:id="rId9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E9A83" w14:textId="77777777" w:rsidR="00E16DB0" w:rsidRDefault="00E16DB0" w:rsidP="0086096E">
      <w:pPr>
        <w:spacing w:after="0" w:line="240" w:lineRule="auto"/>
      </w:pPr>
      <w:r>
        <w:separator/>
      </w:r>
    </w:p>
  </w:endnote>
  <w:endnote w:type="continuationSeparator" w:id="0">
    <w:p w14:paraId="758BC03D" w14:textId="77777777" w:rsidR="00E16DB0" w:rsidRDefault="00E16DB0" w:rsidP="0086096E">
      <w:pPr>
        <w:spacing w:after="0" w:line="240" w:lineRule="auto"/>
      </w:pPr>
      <w:r>
        <w:continuationSeparator/>
      </w:r>
    </w:p>
  </w:endnote>
  <w:endnote w:type="continuationNotice" w:id="1">
    <w:p w14:paraId="6EB346AC" w14:textId="77777777" w:rsidR="00E16DB0" w:rsidRDefault="00E16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ahoma&quot;,sans-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E2C20" w14:textId="77777777" w:rsidR="00E16DB0" w:rsidRDefault="00E16DB0" w:rsidP="0086096E">
      <w:pPr>
        <w:spacing w:after="0" w:line="240" w:lineRule="auto"/>
      </w:pPr>
      <w:r>
        <w:separator/>
      </w:r>
    </w:p>
  </w:footnote>
  <w:footnote w:type="continuationSeparator" w:id="0">
    <w:p w14:paraId="2D7EBD40" w14:textId="77777777" w:rsidR="00E16DB0" w:rsidRDefault="00E16DB0" w:rsidP="0086096E">
      <w:pPr>
        <w:spacing w:after="0" w:line="240" w:lineRule="auto"/>
      </w:pPr>
      <w:r>
        <w:continuationSeparator/>
      </w:r>
    </w:p>
  </w:footnote>
  <w:footnote w:type="continuationNotice" w:id="1">
    <w:p w14:paraId="1447F32F" w14:textId="77777777" w:rsidR="00E16DB0" w:rsidRDefault="00E16DB0">
      <w:pPr>
        <w:spacing w:after="0" w:line="240" w:lineRule="auto"/>
      </w:pPr>
    </w:p>
  </w:footnote>
  <w:footnote w:id="2">
    <w:p w14:paraId="3082C8FE" w14:textId="77777777" w:rsidR="00F47188" w:rsidRPr="000B1308" w:rsidRDefault="00F47188" w:rsidP="00F47188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en-US"/>
        </w:rPr>
        <w:t xml:space="preserve"> Article 55, Directive 2012/34/EU of the European Parliament and of the Council of 21 November 2012 establishing a single European railway area </w:t>
      </w:r>
      <w:hyperlink r:id="rId1" w:history="1">
        <w:r w:rsidRPr="000B1308">
          <w:rPr>
            <w:rStyle w:val="af1"/>
            <w:rFonts w:ascii="Times New Roman" w:hAnsi="Times New Roman" w:cs="Times New Roman"/>
            <w:lang w:val="en-US"/>
          </w:rPr>
          <w:t>https://eur-lex.europa.eu/legal-content/EN/ALL/?uri=CELEX:32012L0034</w:t>
        </w:r>
      </w:hyperlink>
      <w:r w:rsidRPr="000B1308">
        <w:rPr>
          <w:rFonts w:ascii="Times New Roman" w:hAnsi="Times New Roman" w:cs="Times New Roman"/>
          <w:lang w:val="uk-UA"/>
        </w:rPr>
        <w:t xml:space="preserve"> </w:t>
      </w:r>
    </w:p>
  </w:footnote>
  <w:footnote w:id="3">
    <w:p w14:paraId="7DF5CE63" w14:textId="77777777" w:rsidR="00F47188" w:rsidRPr="000B1308" w:rsidRDefault="00F47188" w:rsidP="00F47188">
      <w:pPr>
        <w:pStyle w:val="ae"/>
        <w:rPr>
          <w:rFonts w:ascii="Times New Roman" w:hAnsi="Times New Roman" w:cs="Times New Roman"/>
          <w:lang w:val="en-US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en-US"/>
        </w:rPr>
        <w:t xml:space="preserve"> OECD (2014), The Governance of Regulators, OECD Best Practice Principles for Regulatory Policy, OECD Publishing. </w:t>
      </w:r>
      <w:hyperlink r:id="rId2" w:history="1">
        <w:r w:rsidRPr="000B1308">
          <w:rPr>
            <w:rStyle w:val="af1"/>
            <w:rFonts w:ascii="Times New Roman" w:hAnsi="Times New Roman" w:cs="Times New Roman"/>
            <w:lang w:val="en-US"/>
          </w:rPr>
          <w:t>http://dx.doi.org/10.1787/9789264209015-en</w:t>
        </w:r>
      </w:hyperlink>
      <w:r w:rsidRPr="000B1308">
        <w:rPr>
          <w:rFonts w:ascii="Times New Roman" w:hAnsi="Times New Roman" w:cs="Times New Roman"/>
          <w:lang w:val="en-US"/>
        </w:rPr>
        <w:t xml:space="preserve"> p.49, box 2.1, Examples of independent regulator, reference to German regulator`s decisions which can only be appealed in court in the final instance.</w:t>
      </w:r>
    </w:p>
  </w:footnote>
  <w:footnote w:id="4">
    <w:p w14:paraId="0892863E" w14:textId="68031E8F" w:rsidR="006D44BF" w:rsidRPr="000B1308" w:rsidRDefault="006D44BF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en-US"/>
        </w:rPr>
        <w:t xml:space="preserve"> Para 9, Article 56</w:t>
      </w:r>
      <w:r w:rsidR="00EA7748" w:rsidRPr="000B1308">
        <w:rPr>
          <w:rFonts w:ascii="Times New Roman" w:hAnsi="Times New Roman" w:cs="Times New Roman"/>
          <w:lang w:val="en-US"/>
        </w:rPr>
        <w:t>,</w:t>
      </w:r>
      <w:r w:rsidRPr="000B1308">
        <w:rPr>
          <w:rFonts w:ascii="Times New Roman" w:hAnsi="Times New Roman" w:cs="Times New Roman"/>
          <w:lang w:val="en-US"/>
        </w:rPr>
        <w:t xml:space="preserve"> </w:t>
      </w:r>
      <w:r w:rsidR="00EA7748" w:rsidRPr="000B1308">
        <w:rPr>
          <w:rFonts w:ascii="Times New Roman" w:hAnsi="Times New Roman" w:cs="Times New Roman"/>
          <w:lang w:val="en-US"/>
        </w:rPr>
        <w:t xml:space="preserve">Directive 2012/34/EU of the European Parliament and of the Council of 21 November 2012 establishing a single European railway area </w:t>
      </w:r>
      <w:hyperlink r:id="rId3" w:history="1">
        <w:r w:rsidR="00EA7748" w:rsidRPr="000B1308">
          <w:rPr>
            <w:rStyle w:val="af1"/>
            <w:rFonts w:ascii="Times New Roman" w:hAnsi="Times New Roman" w:cs="Times New Roman"/>
            <w:lang w:val="en-US"/>
          </w:rPr>
          <w:t>https://eur-lex.europa.eu/legal-content/EN/ALL/?uri=CELEX:32012L0034</w:t>
        </w:r>
      </w:hyperlink>
      <w:r w:rsidR="00EA7748" w:rsidRPr="000B1308">
        <w:rPr>
          <w:rFonts w:ascii="Times New Roman" w:hAnsi="Times New Roman" w:cs="Times New Roman"/>
          <w:lang w:val="uk-UA"/>
        </w:rPr>
        <w:t xml:space="preserve"> </w:t>
      </w:r>
    </w:p>
  </w:footnote>
  <w:footnote w:id="5">
    <w:p w14:paraId="696B129E" w14:textId="77777777" w:rsidR="00D7692C" w:rsidRPr="000B1308" w:rsidRDefault="00D7692C" w:rsidP="00D7692C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en-US"/>
        </w:rPr>
        <w:t xml:space="preserve"> Para 3, Article </w:t>
      </w:r>
      <w:r w:rsidRPr="000B1308">
        <w:rPr>
          <w:rFonts w:ascii="Times New Roman" w:hAnsi="Times New Roman" w:cs="Times New Roman"/>
          <w:lang w:val="uk-UA"/>
        </w:rPr>
        <w:t>55</w:t>
      </w:r>
      <w:r w:rsidRPr="000B1308">
        <w:rPr>
          <w:rFonts w:ascii="Times New Roman" w:hAnsi="Times New Roman" w:cs="Times New Roman"/>
          <w:lang w:val="en-US"/>
        </w:rPr>
        <w:t xml:space="preserve">, Directive 2012/34/EU of the European Parliament and of the Council of 21 November 2012 establishing a single European railway area </w:t>
      </w:r>
      <w:hyperlink r:id="rId4" w:history="1">
        <w:r w:rsidRPr="000B1308">
          <w:rPr>
            <w:rStyle w:val="af1"/>
            <w:rFonts w:ascii="Times New Roman" w:hAnsi="Times New Roman" w:cs="Times New Roman"/>
            <w:lang w:val="en-US"/>
          </w:rPr>
          <w:t>https://eur-lex.europa.eu/legal-content/EN/ALL/?uri=CELEX:32012L0034</w:t>
        </w:r>
      </w:hyperlink>
      <w:r w:rsidRPr="000B1308">
        <w:rPr>
          <w:rFonts w:ascii="Times New Roman" w:hAnsi="Times New Roman" w:cs="Times New Roman"/>
          <w:lang w:val="uk-UA"/>
        </w:rPr>
        <w:t xml:space="preserve"> </w:t>
      </w:r>
      <w:r w:rsidRPr="000B1308">
        <w:rPr>
          <w:rFonts w:ascii="Times New Roman" w:hAnsi="Times New Roman" w:cs="Times New Roman"/>
          <w:lang w:val="en-US"/>
        </w:rPr>
        <w:t xml:space="preserve"> </w:t>
      </w:r>
    </w:p>
  </w:footnote>
  <w:footnote w:id="6">
    <w:p w14:paraId="7AD82E56" w14:textId="77777777" w:rsidR="00D7692C" w:rsidRPr="000B1308" w:rsidRDefault="00D7692C" w:rsidP="00D7692C">
      <w:pPr>
        <w:pStyle w:val="ae"/>
        <w:rPr>
          <w:rFonts w:ascii="Times New Roman" w:hAnsi="Times New Roman" w:cs="Times New Roman"/>
          <w:lang w:val="en-US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uk-UA"/>
        </w:rPr>
        <w:t xml:space="preserve"> </w:t>
      </w:r>
      <w:r w:rsidRPr="000B1308">
        <w:rPr>
          <w:rFonts w:ascii="Times New Roman" w:hAnsi="Times New Roman" w:cs="Times New Roman"/>
          <w:lang w:val="en-US"/>
        </w:rPr>
        <w:t xml:space="preserve">Page 10, OECD (2017), Creating a Culture of Independence: Practical Guidance against Undue Influence, the Governance of Regulators, OECD Publishing, Paris </w:t>
      </w:r>
      <w:hyperlink r:id="rId5" w:anchor="page1" w:history="1">
        <w:r w:rsidRPr="000B1308">
          <w:rPr>
            <w:rStyle w:val="af1"/>
            <w:rFonts w:ascii="Times New Roman" w:hAnsi="Times New Roman" w:cs="Times New Roman"/>
            <w:lang w:val="en-US"/>
          </w:rPr>
          <w:t>https://read.oecd-ilibrary.org/governance/creating-a-culture-of-independence_9789264274198-en#page1</w:t>
        </w:r>
      </w:hyperlink>
      <w:r w:rsidRPr="000B1308">
        <w:rPr>
          <w:rFonts w:ascii="Times New Roman" w:hAnsi="Times New Roman" w:cs="Times New Roman"/>
          <w:lang w:val="en-US"/>
        </w:rPr>
        <w:t xml:space="preserve">     </w:t>
      </w:r>
    </w:p>
  </w:footnote>
  <w:footnote w:id="7">
    <w:p w14:paraId="5F57F399" w14:textId="77777777" w:rsidR="00D7692C" w:rsidRPr="000B1308" w:rsidRDefault="00D7692C" w:rsidP="00D7692C">
      <w:pPr>
        <w:pStyle w:val="ae"/>
        <w:rPr>
          <w:rFonts w:ascii="Times New Roman" w:hAnsi="Times New Roman" w:cs="Times New Roman"/>
          <w:lang w:val="en-US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en-US"/>
        </w:rPr>
        <w:t xml:space="preserve"> Para 9, Article 56, Directive 2012/34/EU of the European Parliament and of the Council of 21 November 2012 establishing a single European railway area </w:t>
      </w:r>
      <w:hyperlink r:id="rId6" w:history="1">
        <w:r w:rsidRPr="000B1308">
          <w:rPr>
            <w:rStyle w:val="af1"/>
            <w:rFonts w:ascii="Times New Roman" w:hAnsi="Times New Roman" w:cs="Times New Roman"/>
            <w:lang w:val="en-US"/>
          </w:rPr>
          <w:t>https://eur-lex.europa.eu/legal-content/EN/ALL/?uri=CELEX:32012L0034</w:t>
        </w:r>
      </w:hyperlink>
      <w:r w:rsidRPr="000B1308">
        <w:rPr>
          <w:rFonts w:ascii="Times New Roman" w:hAnsi="Times New Roman" w:cs="Times New Roman"/>
          <w:lang w:val="uk-UA"/>
        </w:rPr>
        <w:t xml:space="preserve"> </w:t>
      </w:r>
      <w:r w:rsidRPr="000B1308">
        <w:rPr>
          <w:rFonts w:ascii="Times New Roman" w:hAnsi="Times New Roman" w:cs="Times New Roman"/>
          <w:lang w:val="en-US"/>
        </w:rPr>
        <w:t xml:space="preserve">  </w:t>
      </w:r>
    </w:p>
  </w:footnote>
  <w:footnote w:id="8">
    <w:p w14:paraId="3C433DEC" w14:textId="3E955DCC" w:rsidR="006D44BF" w:rsidRPr="000B1308" w:rsidRDefault="006D44BF" w:rsidP="006D44BF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</w:rPr>
        <w:t xml:space="preserve"> </w:t>
      </w:r>
      <w:r w:rsidRPr="000B1308">
        <w:rPr>
          <w:rFonts w:ascii="Times New Roman" w:hAnsi="Times New Roman" w:cs="Times New Roman"/>
          <w:lang w:val="uk-UA"/>
        </w:rPr>
        <w:t xml:space="preserve">Положення про державну реєстрацію нормативно-правових актів міністерств, інших органів виконавчої влади, затверджене постановою Кабінету Міністрів України від 28 грудня 1992 р. № 731 </w:t>
      </w:r>
      <w:hyperlink r:id="rId7" w:anchor="Text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https://zakon.rada.gov.ua/laws/show/731-92-%D0%BF#Text</w:t>
        </w:r>
      </w:hyperlink>
      <w:r w:rsidRPr="000B1308">
        <w:rPr>
          <w:rFonts w:ascii="Times New Roman" w:hAnsi="Times New Roman" w:cs="Times New Roman"/>
          <w:lang w:val="uk-UA"/>
        </w:rPr>
        <w:t xml:space="preserve"> </w:t>
      </w:r>
    </w:p>
  </w:footnote>
  <w:footnote w:id="9">
    <w:p w14:paraId="65453955" w14:textId="77777777" w:rsidR="00D7692C" w:rsidRPr="000B1308" w:rsidRDefault="00D7692C" w:rsidP="00D7692C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</w:rPr>
        <w:t xml:space="preserve"> </w:t>
      </w:r>
      <w:r w:rsidRPr="000B1308">
        <w:rPr>
          <w:rFonts w:ascii="Times New Roman" w:hAnsi="Times New Roman" w:cs="Times New Roman"/>
          <w:lang w:val="uk-UA"/>
        </w:rPr>
        <w:t xml:space="preserve">Пункт 4 Положення про державну реєстрацію нормативно-правових актів міністерств, інших органів виконавчої влади, затверджене постановою Кабінету Міністрів України від 28 грудня 1992 р. № 731 </w:t>
      </w:r>
      <w:hyperlink r:id="rId8" w:anchor="Text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https://zakon.rada.gov.ua/laws/show/731-92-%D0%BF#Text</w:t>
        </w:r>
      </w:hyperlink>
    </w:p>
  </w:footnote>
  <w:footnote w:id="10">
    <w:p w14:paraId="54EC1208" w14:textId="126464C6" w:rsidR="008C21E7" w:rsidRPr="000B1308" w:rsidRDefault="008C21E7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</w:rPr>
        <w:t xml:space="preserve"> Закон України «Про Національну комісію, що здійснює державне регулювання у сферах енергетики та комунальних послуг»</w:t>
      </w:r>
      <w:r w:rsidRPr="000B1308">
        <w:rPr>
          <w:rFonts w:ascii="Times New Roman" w:hAnsi="Times New Roman" w:cs="Times New Roman"/>
          <w:lang w:val="uk-UA"/>
        </w:rPr>
        <w:t xml:space="preserve"> </w:t>
      </w:r>
      <w:hyperlink r:id="rId9" w:anchor="Text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https://zakon.rada.gov.ua/laws/show/1540-19#Text</w:t>
        </w:r>
      </w:hyperlink>
      <w:r w:rsidRPr="000B1308">
        <w:rPr>
          <w:rFonts w:ascii="Times New Roman" w:hAnsi="Times New Roman" w:cs="Times New Roman"/>
          <w:lang w:val="uk-UA"/>
        </w:rPr>
        <w:t xml:space="preserve"> </w:t>
      </w:r>
    </w:p>
  </w:footnote>
  <w:footnote w:id="11">
    <w:p w14:paraId="47938C27" w14:textId="54FD8F35" w:rsidR="0029794F" w:rsidRPr="000B1308" w:rsidRDefault="0029794F">
      <w:pPr>
        <w:pStyle w:val="ae"/>
        <w:rPr>
          <w:rFonts w:ascii="Times New Roman" w:hAnsi="Times New Roman" w:cs="Times New Roman"/>
          <w:lang w:val="en-US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en-US"/>
        </w:rPr>
        <w:t xml:space="preserve"> </w:t>
      </w:r>
      <w:r w:rsidR="00A91133" w:rsidRPr="000B1308">
        <w:rPr>
          <w:rFonts w:ascii="Times New Roman" w:hAnsi="Times New Roman" w:cs="Times New Roman"/>
          <w:lang w:val="en-US"/>
        </w:rPr>
        <w:t xml:space="preserve">Chapter IX National Regulatory Authorities, </w:t>
      </w:r>
      <w:r w:rsidR="00E620BE" w:rsidRPr="000B1308">
        <w:rPr>
          <w:rFonts w:ascii="Times New Roman" w:hAnsi="Times New Roman" w:cs="Times New Roman"/>
          <w:lang w:val="en-US"/>
        </w:rPr>
        <w:t xml:space="preserve">Directive 2009/72/EC of the European Parliament and of the Council of 13 July 2009 concerning common rules for the internal market in electricity and repealing Directive 2003/54/EC </w:t>
      </w:r>
      <w:hyperlink r:id="rId10" w:history="1">
        <w:r w:rsidR="00301350" w:rsidRPr="000B1308">
          <w:rPr>
            <w:rStyle w:val="af1"/>
            <w:rFonts w:ascii="Times New Roman" w:hAnsi="Times New Roman" w:cs="Times New Roman"/>
            <w:lang w:val="en-US"/>
          </w:rPr>
          <w:t>https://eur-lex.europa.eu/legal-content/EN/ALL/?uri=celex%3A32009L0072</w:t>
        </w:r>
      </w:hyperlink>
      <w:r w:rsidR="00301350" w:rsidRPr="000B1308">
        <w:rPr>
          <w:rFonts w:ascii="Times New Roman" w:hAnsi="Times New Roman" w:cs="Times New Roman"/>
          <w:lang w:val="en-US"/>
        </w:rPr>
        <w:t xml:space="preserve"> </w:t>
      </w:r>
    </w:p>
  </w:footnote>
  <w:footnote w:id="12">
    <w:p w14:paraId="0B89E04B" w14:textId="0E69F2C1" w:rsidR="0095736B" w:rsidRPr="000B1308" w:rsidRDefault="0095736B" w:rsidP="0095736B">
      <w:pPr>
        <w:pStyle w:val="ae"/>
        <w:rPr>
          <w:rFonts w:ascii="Times New Roman" w:hAnsi="Times New Roman" w:cs="Times New Roman"/>
          <w:lang w:val="en-US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en-US"/>
        </w:rPr>
        <w:t xml:space="preserve"> Chapter VIII National Regulatory Authorities, </w:t>
      </w:r>
      <w:r w:rsidR="00120465" w:rsidRPr="000B1308">
        <w:rPr>
          <w:rFonts w:ascii="Times New Roman" w:hAnsi="Times New Roman" w:cs="Times New Roman"/>
          <w:lang w:val="en-US"/>
        </w:rPr>
        <w:t xml:space="preserve">Directive 2009/73/EC of the European Parliament and of the Council of 13 July 2009 concerning common rules for the internal market in natural gas and repealing Directive 2003/55/EC </w:t>
      </w:r>
      <w:hyperlink r:id="rId11" w:history="1">
        <w:r w:rsidR="00120465" w:rsidRPr="000B1308">
          <w:rPr>
            <w:rStyle w:val="af1"/>
            <w:rFonts w:ascii="Times New Roman" w:hAnsi="Times New Roman" w:cs="Times New Roman"/>
            <w:lang w:val="en-US"/>
          </w:rPr>
          <w:t>https://eur-lex.europa.eu/legal-content/EN/ALL/?uri=CELEX%3A32009L0073</w:t>
        </w:r>
      </w:hyperlink>
      <w:r w:rsidR="00120465" w:rsidRPr="000B1308">
        <w:rPr>
          <w:rFonts w:ascii="Times New Roman" w:hAnsi="Times New Roman" w:cs="Times New Roman"/>
          <w:lang w:val="en-US"/>
        </w:rPr>
        <w:t xml:space="preserve"> </w:t>
      </w:r>
    </w:p>
  </w:footnote>
  <w:footnote w:id="13">
    <w:p w14:paraId="383318C3" w14:textId="498E73F0" w:rsidR="00A501E0" w:rsidRPr="000B1308" w:rsidRDefault="00A501E0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</w:rPr>
        <w:t xml:space="preserve"> </w:t>
      </w:r>
      <w:r w:rsidRPr="000B1308">
        <w:rPr>
          <w:rFonts w:ascii="Times New Roman" w:hAnsi="Times New Roman" w:cs="Times New Roman"/>
          <w:lang w:val="uk-UA"/>
        </w:rPr>
        <w:t xml:space="preserve">Стаття 21 </w:t>
      </w:r>
      <w:r w:rsidR="006359FF" w:rsidRPr="000B1308">
        <w:rPr>
          <w:rFonts w:ascii="Times New Roman" w:hAnsi="Times New Roman" w:cs="Times New Roman"/>
          <w:lang w:val="uk-UA"/>
        </w:rPr>
        <w:t xml:space="preserve">Закону України «Про засади державної регуляторної політики у сфері господарської діяльності» </w:t>
      </w:r>
      <w:hyperlink r:id="rId12" w:anchor="top" w:history="1">
        <w:r w:rsidR="006359FF"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https://zakon.rada.gov.ua/laws/show/1160-15#top</w:t>
        </w:r>
      </w:hyperlink>
    </w:p>
  </w:footnote>
  <w:footnote w:id="14">
    <w:p w14:paraId="086B459A" w14:textId="77777777" w:rsidR="0004287C" w:rsidRPr="000B1308" w:rsidRDefault="0004287C" w:rsidP="0004287C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</w:rPr>
        <w:t xml:space="preserve"> </w:t>
      </w:r>
      <w:r w:rsidRPr="000B1308">
        <w:rPr>
          <w:rFonts w:ascii="Times New Roman" w:hAnsi="Times New Roman" w:cs="Times New Roman"/>
          <w:lang w:val="uk-UA"/>
        </w:rPr>
        <w:t xml:space="preserve">Стаття 25 Закону України «Про засади державної регуляторної політики у сфері господарської діяльності» </w:t>
      </w:r>
      <w:hyperlink r:id="rId13" w:anchor="top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https://zakon.rada.gov.ua/laws/show/1160-15#top</w:t>
        </w:r>
      </w:hyperlink>
      <w:r w:rsidRPr="000B1308">
        <w:rPr>
          <w:rFonts w:ascii="Times New Roman" w:hAnsi="Times New Roman" w:cs="Times New Roman"/>
          <w:lang w:val="uk-UA"/>
        </w:rPr>
        <w:t xml:space="preserve"> </w:t>
      </w:r>
    </w:p>
  </w:footnote>
  <w:footnote w:id="15">
    <w:p w14:paraId="0CD49683" w14:textId="77777777" w:rsidR="0004287C" w:rsidRPr="000B1308" w:rsidRDefault="0004287C" w:rsidP="0004287C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</w:rPr>
        <w:t xml:space="preserve"> </w:t>
      </w:r>
      <w:r w:rsidRPr="000B1308">
        <w:rPr>
          <w:rFonts w:ascii="Times New Roman" w:hAnsi="Times New Roman" w:cs="Times New Roman"/>
          <w:lang w:val="uk-UA"/>
        </w:rPr>
        <w:t xml:space="preserve">За результатами пошуку словосполучення «невідкладних випадків» на офіційному веб-сайті ВРУ </w:t>
      </w:r>
      <w:hyperlink r:id="rId14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https://zakon.rada.gov.ua/laws/find/a?text=%D0%BD%D0%B5%D0%B2%D1%96%D0%B4%D0%BA%D0%BB%D0%B0%D0%B4%D0%BD%D0%B8%D1%85+%D0%B2%D0%B8%D0%BF%D0%B0%D0%B4%D0%BA%D0%B0%D1%85&amp;textl=3&amp;bool=and</w:t>
        </w:r>
      </w:hyperlink>
      <w:r w:rsidRPr="000B1308">
        <w:rPr>
          <w:rFonts w:ascii="Times New Roman" w:hAnsi="Times New Roman" w:cs="Times New Roman"/>
          <w:lang w:val="uk-UA"/>
        </w:rPr>
        <w:t xml:space="preserve"> </w:t>
      </w:r>
    </w:p>
  </w:footnote>
  <w:footnote w:id="16">
    <w:p w14:paraId="68CEB0B1" w14:textId="77777777" w:rsidR="0004287C" w:rsidRPr="000B1308" w:rsidRDefault="0004287C" w:rsidP="0004287C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</w:rPr>
        <w:t xml:space="preserve"> </w:t>
      </w:r>
      <w:r w:rsidRPr="000B1308">
        <w:rPr>
          <w:rFonts w:ascii="Times New Roman" w:hAnsi="Times New Roman" w:cs="Times New Roman"/>
          <w:lang w:val="uk-UA"/>
        </w:rPr>
        <w:t xml:space="preserve">Визначення надзвичайної ситуації з пункту 24 частини першої статті 2 Кодексу цивільного захисту України </w:t>
      </w:r>
      <w:hyperlink r:id="rId15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https://zakon.rada.gov.ua/laws/show/5403-17/print</w:t>
        </w:r>
      </w:hyperlink>
      <w:r w:rsidRPr="000B1308">
        <w:rPr>
          <w:rFonts w:ascii="Times New Roman" w:hAnsi="Times New Roman" w:cs="Times New Roman"/>
          <w:lang w:val="uk-UA"/>
        </w:rPr>
        <w:t xml:space="preserve">   </w:t>
      </w:r>
    </w:p>
  </w:footnote>
  <w:footnote w:id="17">
    <w:p w14:paraId="32F64E57" w14:textId="2CF2F34D" w:rsidR="00F716E1" w:rsidRPr="000B1308" w:rsidRDefault="00F716E1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</w:rPr>
        <w:t xml:space="preserve"> </w:t>
      </w:r>
      <w:r w:rsidR="00615DFB" w:rsidRPr="000B1308">
        <w:rPr>
          <w:rFonts w:ascii="Times New Roman" w:hAnsi="Times New Roman" w:cs="Times New Roman"/>
          <w:lang w:val="uk-UA"/>
        </w:rPr>
        <w:t xml:space="preserve">Пункт 4 частини другої статті 5 Кодексу цивільного захисту України </w:t>
      </w:r>
      <w:hyperlink r:id="rId16" w:anchor="Text" w:history="1">
        <w:r w:rsidR="00B9595E"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https://zakon.rada.gov.ua/laws/show/5403-17#Text</w:t>
        </w:r>
      </w:hyperlink>
      <w:r w:rsidR="00B9595E" w:rsidRPr="000B1308">
        <w:rPr>
          <w:rFonts w:ascii="Times New Roman" w:hAnsi="Times New Roman" w:cs="Times New Roman"/>
          <w:lang w:val="uk-UA"/>
        </w:rPr>
        <w:t xml:space="preserve"> </w:t>
      </w:r>
    </w:p>
  </w:footnote>
  <w:footnote w:id="18">
    <w:p w14:paraId="4997786B" w14:textId="77777777" w:rsidR="0004287C" w:rsidRPr="000B1308" w:rsidRDefault="0004287C" w:rsidP="0004287C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uk-UA"/>
        </w:rPr>
        <w:t xml:space="preserve"> Пункт 3 частини другої статті 5 Кодексу цивільного захисту України </w:t>
      </w:r>
      <w:hyperlink r:id="rId17" w:anchor="Text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https://zakon.rada.gov.ua/laws/show/5403-17#Text</w:t>
        </w:r>
      </w:hyperlink>
      <w:r w:rsidRPr="000B1308">
        <w:rPr>
          <w:rFonts w:ascii="Times New Roman" w:hAnsi="Times New Roman" w:cs="Times New Roman"/>
          <w:lang w:val="uk-UA"/>
        </w:rPr>
        <w:t xml:space="preserve">, а також Наказ МВС від 06.08.2018 № 658 «Про затвердження Класифікаційних ознак надзвичайних ситуацій» </w:t>
      </w:r>
      <w:hyperlink r:id="rId18" w:anchor="Text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https://zakon.rada.gov.ua/laws/show/z0969-18#Text</w:t>
        </w:r>
      </w:hyperlink>
      <w:r w:rsidRPr="000B1308">
        <w:rPr>
          <w:rFonts w:ascii="Times New Roman" w:hAnsi="Times New Roman" w:cs="Times New Roman"/>
          <w:lang w:val="uk-UA"/>
        </w:rPr>
        <w:t xml:space="preserve">, Звіт Норвезької ради у справах біженців «Заходи компенсаційного характеру у рамках надзвичайної ситуації: грошова компенсація за житло, зруйноване внаслідок збройного конфлікту» ст.4-6, </w:t>
      </w:r>
      <w:hyperlink r:id="rId19" w:history="1">
        <w:r w:rsidRPr="000B1308">
          <w:rPr>
            <w:rStyle w:val="af1"/>
            <w:rFonts w:ascii="Times New Roman" w:hAnsi="Times New Roman" w:cs="Times New Roman"/>
            <w:lang w:val="uk-UA"/>
          </w:rPr>
          <w:t>https://www.nrc.no/globalassets/pdf/reports/ukraine/emergency-compensatory-measures/nrc-ukraine_-hlp_report_ukr.pdf</w:t>
        </w:r>
      </w:hyperlink>
      <w:r w:rsidRPr="000B1308">
        <w:rPr>
          <w:rFonts w:ascii="Times New Roman" w:hAnsi="Times New Roman" w:cs="Times New Roman"/>
          <w:lang w:val="uk-UA"/>
        </w:rPr>
        <w:t xml:space="preserve">  </w:t>
      </w:r>
    </w:p>
  </w:footnote>
  <w:footnote w:id="19">
    <w:p w14:paraId="7D0B5071" w14:textId="1665E7DB" w:rsidR="005C4118" w:rsidRPr="000B1308" w:rsidRDefault="005C4118">
      <w:pPr>
        <w:pStyle w:val="ae"/>
        <w:rPr>
          <w:rFonts w:ascii="Times New Roman" w:hAnsi="Times New Roman" w:cs="Times New Roman"/>
          <w:lang w:val="uk-UA"/>
        </w:rPr>
      </w:pPr>
      <w:r w:rsidRPr="000B1308">
        <w:rPr>
          <w:rStyle w:val="af0"/>
          <w:rFonts w:ascii="Times New Roman" w:hAnsi="Times New Roman" w:cs="Times New Roman"/>
        </w:rPr>
        <w:footnoteRef/>
      </w:r>
      <w:r w:rsidRPr="000B1308">
        <w:rPr>
          <w:rFonts w:ascii="Times New Roman" w:hAnsi="Times New Roman" w:cs="Times New Roman"/>
          <w:lang w:val="uk-UA"/>
        </w:rPr>
        <w:t xml:space="preserve"> Федерація роботодавців транспорту України є неприбутковою</w:t>
      </w:r>
      <w:r w:rsidR="009E6D80" w:rsidRPr="000B1308">
        <w:rPr>
          <w:rFonts w:ascii="Times New Roman" w:hAnsi="Times New Roman" w:cs="Times New Roman"/>
          <w:lang w:val="uk-UA"/>
        </w:rPr>
        <w:t xml:space="preserve"> громадською</w:t>
      </w:r>
      <w:r w:rsidRPr="000B1308">
        <w:rPr>
          <w:rFonts w:ascii="Times New Roman" w:hAnsi="Times New Roman" w:cs="Times New Roman"/>
          <w:lang w:val="uk-UA"/>
        </w:rPr>
        <w:t xml:space="preserve"> організацією, згідно з </w:t>
      </w:r>
      <w:r w:rsidR="002D57A7" w:rsidRPr="000B1308">
        <w:rPr>
          <w:rFonts w:ascii="Times New Roman" w:hAnsi="Times New Roman" w:cs="Times New Roman"/>
          <w:lang w:val="uk-UA"/>
        </w:rPr>
        <w:t xml:space="preserve">її Статутом, розміщеним на її офіційному веб-сайті </w:t>
      </w:r>
      <w:r w:rsidR="00227C61" w:rsidRPr="000B1308">
        <w:rPr>
          <w:rFonts w:ascii="Times New Roman" w:hAnsi="Times New Roman" w:cs="Times New Roman"/>
        </w:rPr>
        <w:t>https</w:t>
      </w:r>
      <w:r w:rsidR="00227C61" w:rsidRPr="000B1308">
        <w:rPr>
          <w:rFonts w:ascii="Times New Roman" w:hAnsi="Times New Roman" w:cs="Times New Roman"/>
          <w:lang w:val="uk-UA"/>
        </w:rPr>
        <w:t>://</w:t>
      </w:r>
      <w:r w:rsidR="00227C61" w:rsidRPr="000B1308">
        <w:rPr>
          <w:rFonts w:ascii="Times New Roman" w:hAnsi="Times New Roman" w:cs="Times New Roman"/>
        </w:rPr>
        <w:t>frtukr</w:t>
      </w:r>
      <w:r w:rsidR="00227C61" w:rsidRPr="000B1308">
        <w:rPr>
          <w:rFonts w:ascii="Times New Roman" w:hAnsi="Times New Roman" w:cs="Times New Roman"/>
          <w:lang w:val="uk-UA"/>
        </w:rPr>
        <w:t>.</w:t>
      </w:r>
      <w:r w:rsidR="00227C61" w:rsidRPr="000B1308">
        <w:rPr>
          <w:rFonts w:ascii="Times New Roman" w:hAnsi="Times New Roman" w:cs="Times New Roman"/>
        </w:rPr>
        <w:t>org</w:t>
      </w:r>
      <w:r w:rsidR="00227C61" w:rsidRPr="000B1308">
        <w:rPr>
          <w:rFonts w:ascii="Times New Roman" w:hAnsi="Times New Roman" w:cs="Times New Roman"/>
          <w:lang w:val="uk-UA"/>
        </w:rPr>
        <w:t>/</w:t>
      </w:r>
      <w:r w:rsidR="00227C61" w:rsidRPr="000B1308">
        <w:rPr>
          <w:rFonts w:ascii="Times New Roman" w:hAnsi="Times New Roman" w:cs="Times New Roman"/>
        </w:rPr>
        <w:t>statut</w:t>
      </w:r>
      <w:r w:rsidR="00227C61" w:rsidRPr="000B1308">
        <w:rPr>
          <w:rFonts w:ascii="Times New Roman" w:hAnsi="Times New Roman" w:cs="Times New Roman"/>
          <w:lang w:val="uk-UA"/>
        </w:rPr>
        <w:t>-</w:t>
      </w:r>
      <w:r w:rsidR="00227C61" w:rsidRPr="000B1308">
        <w:rPr>
          <w:rFonts w:ascii="Times New Roman" w:hAnsi="Times New Roman" w:cs="Times New Roman"/>
        </w:rPr>
        <w:t>frtu</w:t>
      </w:r>
      <w:r w:rsidR="00227C61" w:rsidRPr="000B1308">
        <w:rPr>
          <w:rFonts w:ascii="Times New Roman" w:hAnsi="Times New Roman" w:cs="Times New Roman"/>
          <w:lang w:val="uk-UA"/>
        </w:rPr>
        <w:t>/</w:t>
      </w:r>
      <w:r w:rsidR="002D57A7" w:rsidRPr="000B1308">
        <w:rPr>
          <w:rFonts w:ascii="Times New Roman" w:hAnsi="Times New Roman" w:cs="Times New Roman"/>
          <w:lang w:val="uk-UA"/>
        </w:rPr>
        <w:t xml:space="preserve"> </w:t>
      </w:r>
    </w:p>
    <w:p w14:paraId="5E7C72F4" w14:textId="77777777" w:rsidR="00227C61" w:rsidRPr="000B1308" w:rsidRDefault="00227C61">
      <w:pPr>
        <w:pStyle w:val="ae"/>
        <w:rPr>
          <w:rFonts w:ascii="Times New Roman" w:hAnsi="Times New Roman" w:cs="Times New Roman"/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17EDBB68" w:rsidR="006D44BF" w:rsidRDefault="006D44BF" w:rsidP="00E70881">
    <w:pPr>
      <w:pStyle w:val="a3"/>
      <w:ind w:hanging="1134"/>
    </w:pPr>
  </w:p>
  <w:p w14:paraId="62486C05" w14:textId="77777777" w:rsidR="006D44BF" w:rsidRDefault="006D44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B465" w14:textId="00081F4E" w:rsidR="00275C5C" w:rsidRDefault="00124373">
    <w:pPr>
      <w:pStyle w:val="a3"/>
    </w:pPr>
    <w:r>
      <w:rPr>
        <w:noProof/>
        <w:lang w:eastAsia="ru-RU"/>
      </w:rPr>
      <w:drawing>
        <wp:inline distT="0" distB="0" distL="0" distR="0" wp14:anchorId="52A5B19A" wp14:editId="31A165D4">
          <wp:extent cx="6299835" cy="1120140"/>
          <wp:effectExtent l="0" t="0" r="5715" b="381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BFE"/>
    <w:multiLevelType w:val="hybridMultilevel"/>
    <w:tmpl w:val="65865954"/>
    <w:lvl w:ilvl="0" w:tplc="5F025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535C"/>
    <w:multiLevelType w:val="hybridMultilevel"/>
    <w:tmpl w:val="9AB0C31E"/>
    <w:lvl w:ilvl="0" w:tplc="A9EC75B2">
      <w:start w:val="6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3E00E2F"/>
    <w:multiLevelType w:val="hybridMultilevel"/>
    <w:tmpl w:val="945C3B1E"/>
    <w:lvl w:ilvl="0" w:tplc="8A00AFFA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371A1"/>
    <w:multiLevelType w:val="hybridMultilevel"/>
    <w:tmpl w:val="FFFFFFFF"/>
    <w:lvl w:ilvl="0" w:tplc="EECA3F36">
      <w:start w:val="1"/>
      <w:numFmt w:val="bullet"/>
      <w:lvlText w:val="-"/>
      <w:lvlJc w:val="left"/>
      <w:pPr>
        <w:ind w:left="720" w:hanging="360"/>
      </w:pPr>
      <w:rPr>
        <w:rFonts w:ascii="&quot;Tahoma&quot;,sans-serif" w:hAnsi="&quot;Tahoma&quot;,sans-serif" w:hint="default"/>
      </w:rPr>
    </w:lvl>
    <w:lvl w:ilvl="1" w:tplc="8154E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8C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E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2F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0A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44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4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6CA1"/>
    <w:multiLevelType w:val="hybridMultilevel"/>
    <w:tmpl w:val="6B809BD6"/>
    <w:lvl w:ilvl="0" w:tplc="4CDCF54A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1B"/>
    <w:rsid w:val="0001218A"/>
    <w:rsid w:val="00013681"/>
    <w:rsid w:val="00023E4A"/>
    <w:rsid w:val="00030260"/>
    <w:rsid w:val="00032096"/>
    <w:rsid w:val="0004287C"/>
    <w:rsid w:val="00047E74"/>
    <w:rsid w:val="00052E26"/>
    <w:rsid w:val="0006250D"/>
    <w:rsid w:val="0006416C"/>
    <w:rsid w:val="000667E0"/>
    <w:rsid w:val="0006738B"/>
    <w:rsid w:val="00081128"/>
    <w:rsid w:val="000838DD"/>
    <w:rsid w:val="00085CC5"/>
    <w:rsid w:val="00091220"/>
    <w:rsid w:val="00091E94"/>
    <w:rsid w:val="000B104B"/>
    <w:rsid w:val="000B1308"/>
    <w:rsid w:val="000B1CC6"/>
    <w:rsid w:val="000B4D8F"/>
    <w:rsid w:val="000D39DB"/>
    <w:rsid w:val="000D5EAA"/>
    <w:rsid w:val="000D7F56"/>
    <w:rsid w:val="000E7CF0"/>
    <w:rsid w:val="00116860"/>
    <w:rsid w:val="00120465"/>
    <w:rsid w:val="00124373"/>
    <w:rsid w:val="00130552"/>
    <w:rsid w:val="00134DC2"/>
    <w:rsid w:val="00136B44"/>
    <w:rsid w:val="00142148"/>
    <w:rsid w:val="00142E48"/>
    <w:rsid w:val="00164940"/>
    <w:rsid w:val="00165734"/>
    <w:rsid w:val="0017115F"/>
    <w:rsid w:val="001772D5"/>
    <w:rsid w:val="00183B28"/>
    <w:rsid w:val="0018478D"/>
    <w:rsid w:val="001848E3"/>
    <w:rsid w:val="001868DD"/>
    <w:rsid w:val="001A48F8"/>
    <w:rsid w:val="001D0E04"/>
    <w:rsid w:val="001F658A"/>
    <w:rsid w:val="00215469"/>
    <w:rsid w:val="0022004B"/>
    <w:rsid w:val="002220EB"/>
    <w:rsid w:val="00227C61"/>
    <w:rsid w:val="00231203"/>
    <w:rsid w:val="00232287"/>
    <w:rsid w:val="0023558B"/>
    <w:rsid w:val="00235FAC"/>
    <w:rsid w:val="00262A2E"/>
    <w:rsid w:val="00267AA5"/>
    <w:rsid w:val="00275C5C"/>
    <w:rsid w:val="00276015"/>
    <w:rsid w:val="00286B97"/>
    <w:rsid w:val="0029027A"/>
    <w:rsid w:val="00295CB0"/>
    <w:rsid w:val="0029794F"/>
    <w:rsid w:val="002A6A1E"/>
    <w:rsid w:val="002B24A7"/>
    <w:rsid w:val="002B7063"/>
    <w:rsid w:val="002C2F15"/>
    <w:rsid w:val="002D57A7"/>
    <w:rsid w:val="002D6877"/>
    <w:rsid w:val="002F5F04"/>
    <w:rsid w:val="00301350"/>
    <w:rsid w:val="00302C6F"/>
    <w:rsid w:val="00304748"/>
    <w:rsid w:val="00304ADC"/>
    <w:rsid w:val="00307870"/>
    <w:rsid w:val="00314245"/>
    <w:rsid w:val="00320BE2"/>
    <w:rsid w:val="0032445C"/>
    <w:rsid w:val="00333DE5"/>
    <w:rsid w:val="00334D8C"/>
    <w:rsid w:val="00350EFA"/>
    <w:rsid w:val="003513FB"/>
    <w:rsid w:val="003534FD"/>
    <w:rsid w:val="003925E5"/>
    <w:rsid w:val="003A05FD"/>
    <w:rsid w:val="003A5F9D"/>
    <w:rsid w:val="003B0A7B"/>
    <w:rsid w:val="003B1C06"/>
    <w:rsid w:val="003B2EF8"/>
    <w:rsid w:val="003B66FA"/>
    <w:rsid w:val="003B6777"/>
    <w:rsid w:val="003D3E49"/>
    <w:rsid w:val="003D51A8"/>
    <w:rsid w:val="003D77FA"/>
    <w:rsid w:val="003E02E3"/>
    <w:rsid w:val="003E4CD6"/>
    <w:rsid w:val="0044138D"/>
    <w:rsid w:val="00443235"/>
    <w:rsid w:val="0044733E"/>
    <w:rsid w:val="004504A2"/>
    <w:rsid w:val="0045406A"/>
    <w:rsid w:val="00454C9A"/>
    <w:rsid w:val="00466C30"/>
    <w:rsid w:val="004749BC"/>
    <w:rsid w:val="004818A2"/>
    <w:rsid w:val="0048263F"/>
    <w:rsid w:val="0048634C"/>
    <w:rsid w:val="004A5DDF"/>
    <w:rsid w:val="004E7EDE"/>
    <w:rsid w:val="00514357"/>
    <w:rsid w:val="00516AD8"/>
    <w:rsid w:val="00535563"/>
    <w:rsid w:val="005470A9"/>
    <w:rsid w:val="00550509"/>
    <w:rsid w:val="00557FBB"/>
    <w:rsid w:val="005607ED"/>
    <w:rsid w:val="005809CC"/>
    <w:rsid w:val="00582890"/>
    <w:rsid w:val="00586942"/>
    <w:rsid w:val="00596E38"/>
    <w:rsid w:val="005A3163"/>
    <w:rsid w:val="005C2FB1"/>
    <w:rsid w:val="005C4118"/>
    <w:rsid w:val="005D2B0B"/>
    <w:rsid w:val="005D2F3B"/>
    <w:rsid w:val="005D4713"/>
    <w:rsid w:val="005D5549"/>
    <w:rsid w:val="005D6856"/>
    <w:rsid w:val="005E773F"/>
    <w:rsid w:val="005F7123"/>
    <w:rsid w:val="005F7EDC"/>
    <w:rsid w:val="00602B95"/>
    <w:rsid w:val="00613C46"/>
    <w:rsid w:val="00615DFB"/>
    <w:rsid w:val="006203AF"/>
    <w:rsid w:val="006359FF"/>
    <w:rsid w:val="00652EB2"/>
    <w:rsid w:val="00671A22"/>
    <w:rsid w:val="006769D8"/>
    <w:rsid w:val="00690695"/>
    <w:rsid w:val="00693575"/>
    <w:rsid w:val="006D221B"/>
    <w:rsid w:val="006D44BF"/>
    <w:rsid w:val="006D66AE"/>
    <w:rsid w:val="006F1B78"/>
    <w:rsid w:val="00702214"/>
    <w:rsid w:val="00703705"/>
    <w:rsid w:val="007039F4"/>
    <w:rsid w:val="0070419A"/>
    <w:rsid w:val="00707BA7"/>
    <w:rsid w:val="00710BFD"/>
    <w:rsid w:val="00714C32"/>
    <w:rsid w:val="00717D5C"/>
    <w:rsid w:val="0074268E"/>
    <w:rsid w:val="007437F8"/>
    <w:rsid w:val="007446A4"/>
    <w:rsid w:val="00762C30"/>
    <w:rsid w:val="007744E8"/>
    <w:rsid w:val="007A0B04"/>
    <w:rsid w:val="007B157C"/>
    <w:rsid w:val="007C14F9"/>
    <w:rsid w:val="007C189E"/>
    <w:rsid w:val="007C7A46"/>
    <w:rsid w:val="007D2398"/>
    <w:rsid w:val="007E2884"/>
    <w:rsid w:val="00832E9C"/>
    <w:rsid w:val="00834B4A"/>
    <w:rsid w:val="00840F71"/>
    <w:rsid w:val="00845596"/>
    <w:rsid w:val="0085386F"/>
    <w:rsid w:val="0086096E"/>
    <w:rsid w:val="00860EDE"/>
    <w:rsid w:val="00875698"/>
    <w:rsid w:val="008913E7"/>
    <w:rsid w:val="00897911"/>
    <w:rsid w:val="008A36FC"/>
    <w:rsid w:val="008B2887"/>
    <w:rsid w:val="008B3843"/>
    <w:rsid w:val="008C0A9A"/>
    <w:rsid w:val="008C21E7"/>
    <w:rsid w:val="008C252C"/>
    <w:rsid w:val="008C755B"/>
    <w:rsid w:val="008E6409"/>
    <w:rsid w:val="008E6816"/>
    <w:rsid w:val="00913592"/>
    <w:rsid w:val="00920FD9"/>
    <w:rsid w:val="00923A41"/>
    <w:rsid w:val="009258B9"/>
    <w:rsid w:val="009268BA"/>
    <w:rsid w:val="00932D01"/>
    <w:rsid w:val="00933C09"/>
    <w:rsid w:val="0094511B"/>
    <w:rsid w:val="00950086"/>
    <w:rsid w:val="0095736B"/>
    <w:rsid w:val="009735A7"/>
    <w:rsid w:val="00973C14"/>
    <w:rsid w:val="00974B67"/>
    <w:rsid w:val="00987685"/>
    <w:rsid w:val="00992A26"/>
    <w:rsid w:val="009A55D0"/>
    <w:rsid w:val="009C4AF7"/>
    <w:rsid w:val="009C4C99"/>
    <w:rsid w:val="009C7EAE"/>
    <w:rsid w:val="009E378C"/>
    <w:rsid w:val="009E578A"/>
    <w:rsid w:val="009E6B15"/>
    <w:rsid w:val="009E6D80"/>
    <w:rsid w:val="009E72AA"/>
    <w:rsid w:val="009F4E7D"/>
    <w:rsid w:val="00A077C7"/>
    <w:rsid w:val="00A33773"/>
    <w:rsid w:val="00A41181"/>
    <w:rsid w:val="00A43A0F"/>
    <w:rsid w:val="00A46A67"/>
    <w:rsid w:val="00A501E0"/>
    <w:rsid w:val="00A63F27"/>
    <w:rsid w:val="00A63FAC"/>
    <w:rsid w:val="00A6490B"/>
    <w:rsid w:val="00A73B1D"/>
    <w:rsid w:val="00A81AF7"/>
    <w:rsid w:val="00A84FC0"/>
    <w:rsid w:val="00A86A4E"/>
    <w:rsid w:val="00A91133"/>
    <w:rsid w:val="00A9369E"/>
    <w:rsid w:val="00A93838"/>
    <w:rsid w:val="00AA1C44"/>
    <w:rsid w:val="00AA2D90"/>
    <w:rsid w:val="00AA5179"/>
    <w:rsid w:val="00AB1791"/>
    <w:rsid w:val="00AC640C"/>
    <w:rsid w:val="00AD73E9"/>
    <w:rsid w:val="00AE21B4"/>
    <w:rsid w:val="00B02315"/>
    <w:rsid w:val="00B05285"/>
    <w:rsid w:val="00B05AA9"/>
    <w:rsid w:val="00B52A0B"/>
    <w:rsid w:val="00B733FE"/>
    <w:rsid w:val="00B9595E"/>
    <w:rsid w:val="00B963EC"/>
    <w:rsid w:val="00BB03F7"/>
    <w:rsid w:val="00BC17A0"/>
    <w:rsid w:val="00BC5694"/>
    <w:rsid w:val="00BC6C14"/>
    <w:rsid w:val="00BD1838"/>
    <w:rsid w:val="00BE4BA3"/>
    <w:rsid w:val="00BF05C1"/>
    <w:rsid w:val="00BF246A"/>
    <w:rsid w:val="00BF2967"/>
    <w:rsid w:val="00BF6650"/>
    <w:rsid w:val="00C22F80"/>
    <w:rsid w:val="00C25CDA"/>
    <w:rsid w:val="00C360B8"/>
    <w:rsid w:val="00C43231"/>
    <w:rsid w:val="00C579CB"/>
    <w:rsid w:val="00C902F2"/>
    <w:rsid w:val="00C93ED8"/>
    <w:rsid w:val="00C9636A"/>
    <w:rsid w:val="00CA20C4"/>
    <w:rsid w:val="00CA30C3"/>
    <w:rsid w:val="00CC6899"/>
    <w:rsid w:val="00CD5583"/>
    <w:rsid w:val="00CE02C5"/>
    <w:rsid w:val="00D12B5F"/>
    <w:rsid w:val="00D16EFA"/>
    <w:rsid w:val="00D21D2D"/>
    <w:rsid w:val="00D63177"/>
    <w:rsid w:val="00D63EC5"/>
    <w:rsid w:val="00D75BEF"/>
    <w:rsid w:val="00D7692C"/>
    <w:rsid w:val="00D87DD2"/>
    <w:rsid w:val="00D908B0"/>
    <w:rsid w:val="00D95DC9"/>
    <w:rsid w:val="00DA2657"/>
    <w:rsid w:val="00DA336C"/>
    <w:rsid w:val="00DB0E0C"/>
    <w:rsid w:val="00DB1661"/>
    <w:rsid w:val="00DC1FE9"/>
    <w:rsid w:val="00DD268A"/>
    <w:rsid w:val="00DD797C"/>
    <w:rsid w:val="00DE024C"/>
    <w:rsid w:val="00DE5657"/>
    <w:rsid w:val="00DE6C81"/>
    <w:rsid w:val="00DF22B2"/>
    <w:rsid w:val="00E020E8"/>
    <w:rsid w:val="00E16DB0"/>
    <w:rsid w:val="00E270CD"/>
    <w:rsid w:val="00E36F00"/>
    <w:rsid w:val="00E620BE"/>
    <w:rsid w:val="00E6397E"/>
    <w:rsid w:val="00E70881"/>
    <w:rsid w:val="00E759D6"/>
    <w:rsid w:val="00E75EB0"/>
    <w:rsid w:val="00E774CE"/>
    <w:rsid w:val="00E84D4A"/>
    <w:rsid w:val="00E94C9D"/>
    <w:rsid w:val="00E96909"/>
    <w:rsid w:val="00EA7748"/>
    <w:rsid w:val="00EBD366"/>
    <w:rsid w:val="00EC2A50"/>
    <w:rsid w:val="00ED3EC8"/>
    <w:rsid w:val="00F01E1B"/>
    <w:rsid w:val="00F04A32"/>
    <w:rsid w:val="00F177A3"/>
    <w:rsid w:val="00F3501E"/>
    <w:rsid w:val="00F36DE9"/>
    <w:rsid w:val="00F47188"/>
    <w:rsid w:val="00F64F5A"/>
    <w:rsid w:val="00F66D6C"/>
    <w:rsid w:val="00F716E1"/>
    <w:rsid w:val="00F72CD7"/>
    <w:rsid w:val="00F8021A"/>
    <w:rsid w:val="00F815BA"/>
    <w:rsid w:val="00F917C9"/>
    <w:rsid w:val="00F93ED3"/>
    <w:rsid w:val="00F96DFC"/>
    <w:rsid w:val="00FA03A4"/>
    <w:rsid w:val="00FC0594"/>
    <w:rsid w:val="00FC135E"/>
    <w:rsid w:val="00FD2071"/>
    <w:rsid w:val="00FE5CD5"/>
    <w:rsid w:val="00FF7461"/>
    <w:rsid w:val="04FC0F7F"/>
    <w:rsid w:val="05397B34"/>
    <w:rsid w:val="05D44ED6"/>
    <w:rsid w:val="06FF2EA2"/>
    <w:rsid w:val="0923E122"/>
    <w:rsid w:val="0AC6461E"/>
    <w:rsid w:val="0C57F763"/>
    <w:rsid w:val="0E8776BF"/>
    <w:rsid w:val="0F40E940"/>
    <w:rsid w:val="0F5149C9"/>
    <w:rsid w:val="102EC888"/>
    <w:rsid w:val="106B62F8"/>
    <w:rsid w:val="1073A155"/>
    <w:rsid w:val="108EC0FD"/>
    <w:rsid w:val="10B90ECD"/>
    <w:rsid w:val="136C934C"/>
    <w:rsid w:val="14D011AA"/>
    <w:rsid w:val="15496517"/>
    <w:rsid w:val="17A9AE26"/>
    <w:rsid w:val="186C61FC"/>
    <w:rsid w:val="1916B4AE"/>
    <w:rsid w:val="1A3F86EA"/>
    <w:rsid w:val="1CF28263"/>
    <w:rsid w:val="1D7F1815"/>
    <w:rsid w:val="1E51A7F7"/>
    <w:rsid w:val="1F5BCD2C"/>
    <w:rsid w:val="200BAE29"/>
    <w:rsid w:val="21FB2D2D"/>
    <w:rsid w:val="2201C0E2"/>
    <w:rsid w:val="22D7F72E"/>
    <w:rsid w:val="24834506"/>
    <w:rsid w:val="24B2014A"/>
    <w:rsid w:val="24D39DB7"/>
    <w:rsid w:val="24FC5FEC"/>
    <w:rsid w:val="25171B10"/>
    <w:rsid w:val="29146B3D"/>
    <w:rsid w:val="2A464094"/>
    <w:rsid w:val="2AE1D4D0"/>
    <w:rsid w:val="2BA58F9A"/>
    <w:rsid w:val="31493DBD"/>
    <w:rsid w:val="31A8C4CD"/>
    <w:rsid w:val="31FCCF1B"/>
    <w:rsid w:val="3249DCD3"/>
    <w:rsid w:val="32AB79C0"/>
    <w:rsid w:val="32E8C35F"/>
    <w:rsid w:val="32F1855B"/>
    <w:rsid w:val="3375D9D4"/>
    <w:rsid w:val="33AA28A5"/>
    <w:rsid w:val="342D6CD6"/>
    <w:rsid w:val="34589C4C"/>
    <w:rsid w:val="350CA7AF"/>
    <w:rsid w:val="35139221"/>
    <w:rsid w:val="35FA20A9"/>
    <w:rsid w:val="361E7CE0"/>
    <w:rsid w:val="363B95B9"/>
    <w:rsid w:val="380B0CD3"/>
    <w:rsid w:val="3821A27E"/>
    <w:rsid w:val="384B254C"/>
    <w:rsid w:val="38D1E0E9"/>
    <w:rsid w:val="39A7F5B6"/>
    <w:rsid w:val="3ACAAA6A"/>
    <w:rsid w:val="3BBCBA74"/>
    <w:rsid w:val="3BEF922B"/>
    <w:rsid w:val="3D398B17"/>
    <w:rsid w:val="40BAACD7"/>
    <w:rsid w:val="434EF4A1"/>
    <w:rsid w:val="4558BB79"/>
    <w:rsid w:val="4598031C"/>
    <w:rsid w:val="47001D4C"/>
    <w:rsid w:val="472A1ADB"/>
    <w:rsid w:val="4A7ECFE9"/>
    <w:rsid w:val="4BC7FFC8"/>
    <w:rsid w:val="4C728062"/>
    <w:rsid w:val="4E0EEC6E"/>
    <w:rsid w:val="5053E6A5"/>
    <w:rsid w:val="5077FBD5"/>
    <w:rsid w:val="50B903D0"/>
    <w:rsid w:val="51E08613"/>
    <w:rsid w:val="53439B6D"/>
    <w:rsid w:val="544F0532"/>
    <w:rsid w:val="55391B24"/>
    <w:rsid w:val="554ED625"/>
    <w:rsid w:val="56491F84"/>
    <w:rsid w:val="58F92F20"/>
    <w:rsid w:val="5AE146B4"/>
    <w:rsid w:val="5AED2462"/>
    <w:rsid w:val="5AFCB170"/>
    <w:rsid w:val="5C1E6E04"/>
    <w:rsid w:val="5C4D8B8B"/>
    <w:rsid w:val="5C9A6B9D"/>
    <w:rsid w:val="5C9F6D2A"/>
    <w:rsid w:val="5CF378F4"/>
    <w:rsid w:val="5D2A5443"/>
    <w:rsid w:val="5D3FCD17"/>
    <w:rsid w:val="5DBB1965"/>
    <w:rsid w:val="5E2DA8D1"/>
    <w:rsid w:val="5F37DC22"/>
    <w:rsid w:val="5F597079"/>
    <w:rsid w:val="60E3DA9B"/>
    <w:rsid w:val="617A89F9"/>
    <w:rsid w:val="626CC003"/>
    <w:rsid w:val="64F86F4E"/>
    <w:rsid w:val="683D70E4"/>
    <w:rsid w:val="6BB31224"/>
    <w:rsid w:val="6BECA626"/>
    <w:rsid w:val="6DE8F314"/>
    <w:rsid w:val="6FE297CD"/>
    <w:rsid w:val="70C37214"/>
    <w:rsid w:val="75510D36"/>
    <w:rsid w:val="7646934B"/>
    <w:rsid w:val="76EFB07D"/>
    <w:rsid w:val="77302277"/>
    <w:rsid w:val="78F2CA3F"/>
    <w:rsid w:val="7A859648"/>
    <w:rsid w:val="7B666C93"/>
    <w:rsid w:val="7C6D666A"/>
    <w:rsid w:val="7D113DF5"/>
    <w:rsid w:val="7EC852DA"/>
    <w:rsid w:val="7EE05B2E"/>
    <w:rsid w:val="7F090F8B"/>
    <w:rsid w:val="7F8C0D0D"/>
    <w:rsid w:val="7FC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CA72E"/>
  <w15:docId w15:val="{0A29C30F-7FFF-457B-813A-7F980D1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96E"/>
  </w:style>
  <w:style w:type="paragraph" w:styleId="a5">
    <w:name w:val="footer"/>
    <w:basedOn w:val="a"/>
    <w:link w:val="a6"/>
    <w:uiPriority w:val="99"/>
    <w:unhideWhenUsed/>
    <w:rsid w:val="0086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96E"/>
  </w:style>
  <w:style w:type="paragraph" w:styleId="a7">
    <w:name w:val="Balloon Text"/>
    <w:basedOn w:val="a"/>
    <w:link w:val="a8"/>
    <w:uiPriority w:val="99"/>
    <w:semiHidden/>
    <w:unhideWhenUsed/>
    <w:rsid w:val="0086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96E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List Paragraph"/>
    <w:basedOn w:val="a"/>
    <w:uiPriority w:val="34"/>
    <w:qFormat/>
    <w:rsid w:val="003D3E49"/>
    <w:pPr>
      <w:ind w:left="720"/>
      <w:contextualSpacing/>
    </w:pPr>
  </w:style>
  <w:style w:type="paragraph" w:styleId="ad">
    <w:name w:val="Revision"/>
    <w:hidden/>
    <w:uiPriority w:val="99"/>
    <w:semiHidden/>
    <w:rsid w:val="00875698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6D44B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44B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D44BF"/>
    <w:rPr>
      <w:vertAlign w:val="superscript"/>
    </w:rPr>
  </w:style>
  <w:style w:type="character" w:styleId="af1">
    <w:name w:val="Hyperlink"/>
    <w:basedOn w:val="a0"/>
    <w:uiPriority w:val="99"/>
    <w:unhideWhenUsed/>
    <w:rsid w:val="006D44B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44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A7748"/>
    <w:rPr>
      <w:color w:val="800080" w:themeColor="followedHyperlink"/>
      <w:u w:val="single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D7F56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0D7F56"/>
    <w:rPr>
      <w:b/>
      <w:bCs/>
      <w:sz w:val="20"/>
      <w:szCs w:val="20"/>
    </w:rPr>
  </w:style>
  <w:style w:type="character" w:styleId="af5">
    <w:name w:val="Emphasis"/>
    <w:basedOn w:val="a0"/>
    <w:uiPriority w:val="20"/>
    <w:qFormat/>
    <w:rsid w:val="000D7F56"/>
    <w:rPr>
      <w:i/>
      <w:iCs/>
    </w:rPr>
  </w:style>
  <w:style w:type="table" w:styleId="af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31-92-%D0%BF" TargetMode="External"/><Relationship Id="rId13" Type="http://schemas.openxmlformats.org/officeDocument/2006/relationships/hyperlink" Target="https://zakon.rada.gov.ua/laws/show/1160-15" TargetMode="External"/><Relationship Id="rId18" Type="http://schemas.openxmlformats.org/officeDocument/2006/relationships/hyperlink" Target="https://zakon.rada.gov.ua/laws/show/z0969-18" TargetMode="External"/><Relationship Id="rId3" Type="http://schemas.openxmlformats.org/officeDocument/2006/relationships/hyperlink" Target="https://eur-lex.europa.eu/legal-content/EN/ALL/?uri=CELEX:32012L0034" TargetMode="External"/><Relationship Id="rId7" Type="http://schemas.openxmlformats.org/officeDocument/2006/relationships/hyperlink" Target="https://zakon.rada.gov.ua/laws/show/731-92-%D0%BF" TargetMode="External"/><Relationship Id="rId12" Type="http://schemas.openxmlformats.org/officeDocument/2006/relationships/hyperlink" Target="https://zakon.rada.gov.ua/laws/show/1160-15" TargetMode="External"/><Relationship Id="rId17" Type="http://schemas.openxmlformats.org/officeDocument/2006/relationships/hyperlink" Target="https://zakon.rada.gov.ua/laws/show/5403-17" TargetMode="External"/><Relationship Id="rId2" Type="http://schemas.openxmlformats.org/officeDocument/2006/relationships/hyperlink" Target="http://dx.doi.org/10.1787/9789264209015-en" TargetMode="External"/><Relationship Id="rId16" Type="http://schemas.openxmlformats.org/officeDocument/2006/relationships/hyperlink" Target="https://zakon.rada.gov.ua/laws/show/5403-17" TargetMode="External"/><Relationship Id="rId1" Type="http://schemas.openxmlformats.org/officeDocument/2006/relationships/hyperlink" Target="https://eur-lex.europa.eu/legal-content/EN/ALL/?uri=CELEX:32012L0034" TargetMode="External"/><Relationship Id="rId6" Type="http://schemas.openxmlformats.org/officeDocument/2006/relationships/hyperlink" Target="https://eur-lex.europa.eu/legal-content/EN/ALL/?uri=CELEX:32012L0034" TargetMode="External"/><Relationship Id="rId11" Type="http://schemas.openxmlformats.org/officeDocument/2006/relationships/hyperlink" Target="https://eur-lex.europa.eu/legal-content/EN/ALL/?uri=CELEX%3A32009L0073" TargetMode="External"/><Relationship Id="rId5" Type="http://schemas.openxmlformats.org/officeDocument/2006/relationships/hyperlink" Target="https://read.oecd-ilibrary.org/governance/creating-a-culture-of-independence_9789264274198-en" TargetMode="External"/><Relationship Id="rId15" Type="http://schemas.openxmlformats.org/officeDocument/2006/relationships/hyperlink" Target="https://zakon.rada.gov.ua/laws/show/5403-17/print" TargetMode="External"/><Relationship Id="rId10" Type="http://schemas.openxmlformats.org/officeDocument/2006/relationships/hyperlink" Target="https://eur-lex.europa.eu/legal-content/EN/ALL/?uri=celex%3A32009L0072" TargetMode="External"/><Relationship Id="rId19" Type="http://schemas.openxmlformats.org/officeDocument/2006/relationships/hyperlink" Target="https://www.nrc.no/globalassets/pdf/reports/ukraine/emergency-compensatory-measures/nrc-ukraine_-hlp_report_ukr.pdf" TargetMode="External"/><Relationship Id="rId4" Type="http://schemas.openxmlformats.org/officeDocument/2006/relationships/hyperlink" Target="https://eur-lex.europa.eu/legal-content/EN/ALL/?uri=CELEX:32012L0034" TargetMode="External"/><Relationship Id="rId9" Type="http://schemas.openxmlformats.org/officeDocument/2006/relationships/hyperlink" Target="https://zakon.rada.gov.ua/laws/show/1540-19" TargetMode="External"/><Relationship Id="rId14" Type="http://schemas.openxmlformats.org/officeDocument/2006/relationships/hyperlink" Target="https://zakon.rada.gov.ua/laws/find/a?text=%D0%BD%D0%B5%D0%B2%D1%96%D0%B4%D0%BA%D0%BB%D0%B0%D0%B4%D0%BD%D0%B8%D1%85+%D0%B2%D0%B8%D0%BF%D0%B0%D0%B4%D0%BA%D0%B0%D1%85&amp;textl=3&amp;bool=a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82C4-8194-4659-B3F3-48740809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Links>
    <vt:vector size="114" baseType="variant">
      <vt:variant>
        <vt:i4>7929936</vt:i4>
      </vt:variant>
      <vt:variant>
        <vt:i4>54</vt:i4>
      </vt:variant>
      <vt:variant>
        <vt:i4>0</vt:i4>
      </vt:variant>
      <vt:variant>
        <vt:i4>5</vt:i4>
      </vt:variant>
      <vt:variant>
        <vt:lpwstr>https://www.nrc.no/globalassets/pdf/reports/ukraine/emergency-compensatory-measures/nrc-ukraine_-hlp_report_ukr.pdf</vt:lpwstr>
      </vt:variant>
      <vt:variant>
        <vt:lpwstr/>
      </vt:variant>
      <vt:variant>
        <vt:i4>5832779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https://zakon.rada.gov.ua/laws/show/z0969-18</vt:lpwstr>
      </vt:variant>
      <vt:variant>
        <vt:lpwstr>Text</vt:lpwstr>
      </vt:variant>
      <vt:variant>
        <vt:i4>8126504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https://zakon.rada.gov.ua/laws/show/5403-17</vt:lpwstr>
      </vt:variant>
      <vt:variant>
        <vt:lpwstr>Text</vt:lpwstr>
      </vt:variant>
      <vt:variant>
        <vt:i4>8126504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https://zakon.rada.gov.ua/laws/show/5403-17</vt:lpwstr>
      </vt:variant>
      <vt:variant>
        <vt:lpwstr>Text</vt:lpwstr>
      </vt:variant>
      <vt:variant>
        <vt:i4>6160394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https://zakon.rada.gov.ua/laws/show/5403-17/print</vt:lpwstr>
      </vt:variant>
      <vt:variant>
        <vt:lpwstr/>
      </vt:variant>
      <vt:variant>
        <vt:i4>4849748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https://zakon.rada.gov.ua/laws/find/a?text=%D0%BD%D0%B5%D0%B2%D1%96%D0%B4%D0%BA%D0%BB%D0%B0%D0%B4%D0%BD%D0%B8%D1%85+%D0%B2%D0%B8%D0%BF%D0%B0%D0%B4%D0%BA%D0%B0%D1%85&amp;textl=3&amp;bool=and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https://zakon.rada.gov.ua/laws/show/1160-15</vt:lpwstr>
      </vt:variant>
      <vt:variant>
        <vt:lpwstr>top</vt:lpwstr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https://zakon.rada.gov.ua/laws/show/1160-15</vt:lpwstr>
      </vt:variant>
      <vt:variant>
        <vt:lpwstr>top</vt:lpwstr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https://eur-lex.europa.eu/legal-content/EN/ALL/?uri=CELEX%3A32009L0073</vt:lpwstr>
      </vt:variant>
      <vt:variant>
        <vt:lpwstr/>
      </vt:variant>
      <vt:variant>
        <vt:i4>8061032</vt:i4>
      </vt:variant>
      <vt:variant>
        <vt:i4>27</vt:i4>
      </vt:variant>
      <vt:variant>
        <vt:i4>0</vt:i4>
      </vt:variant>
      <vt:variant>
        <vt:i4>5</vt:i4>
      </vt:variant>
      <vt:variant>
        <vt:lpwstr>https://eur-lex.europa.eu/legal-content/EN/ALL/?uri=celex%3A32009L0072</vt:lpwstr>
      </vt:variant>
      <vt:variant>
        <vt:lpwstr/>
      </vt:variant>
      <vt:variant>
        <vt:i4>8257576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https://zakon.rada.gov.ua/laws/show/1540-19</vt:lpwstr>
      </vt:variant>
      <vt:variant>
        <vt:lpwstr>Text</vt:lpwstr>
      </vt:variant>
      <vt:variant>
        <vt:i4>1114195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https://zakon.rada.gov.ua/laws/show/731-92-%D0%BF</vt:lpwstr>
      </vt:variant>
      <vt:variant>
        <vt:lpwstr>Text</vt:lpwstr>
      </vt:variant>
      <vt:variant>
        <vt:i4>1114195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https://zakon.rada.gov.ua/laws/show/731-92-%D0%BF</vt:lpwstr>
      </vt:variant>
      <vt:variant>
        <vt:lpwstr>Text</vt:lpwstr>
      </vt:variant>
      <vt:variant>
        <vt:i4>131156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https://eur-lex.europa.eu/legal-content/EN/ALL/?uri=CELEX:32012L0034</vt:lpwstr>
      </vt:variant>
      <vt:variant>
        <vt:lpwstr/>
      </vt:variant>
      <vt:variant>
        <vt:i4>1638451</vt:i4>
      </vt:variant>
      <vt:variant>
        <vt:i4>12</vt:i4>
      </vt:variant>
      <vt:variant>
        <vt:i4>0</vt:i4>
      </vt:variant>
      <vt:variant>
        <vt:i4>5</vt:i4>
      </vt:variant>
      <vt:variant>
        <vt:lpwstr>https://read.oecd-ilibrary.org/governance/creating-a-culture-of-independence_9789264274198-en</vt:lpwstr>
      </vt:variant>
      <vt:variant>
        <vt:lpwstr>page1</vt:lpwstr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https://eur-lex.europa.eu/legal-content/EN/ALL/?uri=CELEX:32012L0034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https://eur-lex.europa.eu/legal-content/EN/ALL/?uri=CELEX:32012L0034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http://dx.doi.org/10.1787/9789264209015-en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https://eur-lex.europa.eu/legal-content/EN/ALL/?uri=CELEX:32012L0034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cp:lastModifiedBy>Zoya Melnyk</cp:lastModifiedBy>
  <cp:revision>2</cp:revision>
  <cp:lastPrinted>2016-12-26T15:32:00Z</cp:lastPrinted>
  <dcterms:created xsi:type="dcterms:W3CDTF">2020-11-04T13:22:00Z</dcterms:created>
  <dcterms:modified xsi:type="dcterms:W3CDTF">2020-11-04T13:22:00Z</dcterms:modified>
</cp:coreProperties>
</file>