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A65B" w14:textId="34E62801" w:rsidR="0074470E" w:rsidRDefault="0074470E" w:rsidP="0074470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98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  <w:bookmarkStart w:id="0" w:name="_GoBack"/>
      <w:bookmarkEnd w:id="0"/>
    </w:p>
    <w:p w14:paraId="6594D204" w14:textId="4529B535" w:rsidR="0074470E" w:rsidRPr="00C67598" w:rsidRDefault="0074470E" w:rsidP="0074470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A4CA7">
        <w:rPr>
          <w:rFonts w:ascii="Times New Roman" w:hAnsi="Times New Roman" w:cs="Times New Roman"/>
          <w:b/>
          <w:sz w:val="28"/>
          <w:szCs w:val="28"/>
        </w:rPr>
        <w:t xml:space="preserve">о проекту </w:t>
      </w:r>
      <w:r w:rsidRPr="00C67598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«</w:t>
      </w:r>
      <w:r w:rsidR="00ED24A1" w:rsidRPr="00ED24A1">
        <w:rPr>
          <w:rFonts w:ascii="Times New Roman" w:hAnsi="Times New Roman" w:cs="Times New Roman"/>
          <w:b/>
          <w:sz w:val="28"/>
          <w:szCs w:val="28"/>
        </w:rPr>
        <w:t>Про внесення змін до постанов Кабінету Міністрів України від 15 грудня 2005 р. № 1208 і від 9 червня 2006 р. № 815</w:t>
      </w:r>
      <w:r w:rsidRPr="00C6759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650"/>
        <w:gridCol w:w="7513"/>
      </w:tblGrid>
      <w:tr w:rsidR="0074470E" w:rsidRPr="004A4CA7" w14:paraId="41E06A87" w14:textId="77777777" w:rsidTr="00ED24A1">
        <w:tc>
          <w:tcPr>
            <w:tcW w:w="7650" w:type="dxa"/>
          </w:tcPr>
          <w:p w14:paraId="3D2EF513" w14:textId="77777777" w:rsidR="0074470E" w:rsidRPr="004A4CA7" w:rsidRDefault="0074470E" w:rsidP="0012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положення (норми) чинного акта законодавства</w:t>
            </w:r>
          </w:p>
        </w:tc>
        <w:tc>
          <w:tcPr>
            <w:tcW w:w="7513" w:type="dxa"/>
          </w:tcPr>
          <w:p w14:paraId="4D7CA55B" w14:textId="77777777" w:rsidR="0074470E" w:rsidRPr="004A4CA7" w:rsidRDefault="0074470E" w:rsidP="0012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відповідного положення (норми) проекту акта</w:t>
            </w:r>
          </w:p>
        </w:tc>
      </w:tr>
      <w:tr w:rsidR="00ED24A1" w:rsidRPr="004A4CA7" w14:paraId="17BE0615" w14:textId="77777777" w:rsidTr="00ED24A1">
        <w:tc>
          <w:tcPr>
            <w:tcW w:w="15163" w:type="dxa"/>
            <w:gridSpan w:val="2"/>
          </w:tcPr>
          <w:p w14:paraId="46C8930C" w14:textId="51F8B3AD" w:rsidR="00ED24A1" w:rsidRPr="00ED24A1" w:rsidRDefault="00ED24A1" w:rsidP="00ED24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24A1">
              <w:rPr>
                <w:rStyle w:val="rvts23"/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таблиця розподілу смуг радіочастот України, затверджена постановою Кабінету Міністрів України </w:t>
            </w:r>
            <w:hyperlink r:id="rId5" w:tgtFrame="_blank" w:history="1">
              <w:r w:rsidRPr="00ED24A1">
                <w:rPr>
                  <w:rStyle w:val="rvts2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від 15 грудня 2005 р. №1208</w:t>
              </w:r>
            </w:hyperlink>
          </w:p>
        </w:tc>
      </w:tr>
      <w:tr w:rsidR="00ED24A1" w:rsidRPr="004A4CA7" w14:paraId="438155D6" w14:textId="77777777" w:rsidTr="00ED24A1">
        <w:tc>
          <w:tcPr>
            <w:tcW w:w="7650" w:type="dxa"/>
          </w:tcPr>
          <w:tbl>
            <w:tblPr>
              <w:tblW w:w="9690" w:type="dxa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5687"/>
              <w:gridCol w:w="1259"/>
            </w:tblGrid>
            <w:tr w:rsidR="00641AAE" w:rsidRPr="001E6A19" w14:paraId="11E9D70A" w14:textId="77777777" w:rsidTr="00641AAE">
              <w:trPr>
                <w:trHeight w:val="45"/>
                <w:tblCellSpacing w:w="0" w:type="auto"/>
              </w:trPr>
              <w:tc>
                <w:tcPr>
                  <w:tcW w:w="274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855ADCF" w14:textId="77777777" w:rsidR="00641AAE" w:rsidRPr="00641AAE" w:rsidRDefault="00641AAE" w:rsidP="00641AAE">
                  <w:pPr>
                    <w:spacing w:after="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bookmarkStart w:id="1" w:name="_Hlk10638989"/>
                  <w:bookmarkStart w:id="2" w:name="826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790 - 862</w:t>
                  </w:r>
                  <w:bookmarkEnd w:id="1"/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ФІКСОВАНА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РАДІОМОВНА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5.312 5.314 5.315 5.316 5.319 5.321 </w:t>
                  </w:r>
                </w:p>
              </w:tc>
              <w:tc>
                <w:tcPr>
                  <w:tcW w:w="56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F9E79F" w14:textId="77777777" w:rsidR="00641AAE" w:rsidRPr="00641AAE" w:rsidRDefault="00641AAE" w:rsidP="00641AAE">
                  <w:pPr>
                    <w:spacing w:after="0" w:line="276" w:lineRule="auto"/>
                    <w:ind w:right="476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bookmarkStart w:id="3" w:name="827"/>
                  <w:bookmarkEnd w:id="2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790 - 862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ФІКСОВАНА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41AA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РАДІОМОВНА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ПОВІТРЯНА РАДІОНАВІГАЦІЙНА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Рухома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супутникова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, за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винятком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повітряної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рухомої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супутникової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(Земля - космос)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У031 У036 У045 </w:t>
                  </w:r>
                </w:p>
              </w:tc>
              <w:tc>
                <w:tcPr>
                  <w:tcW w:w="125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3377755" w14:textId="77777777" w:rsidR="00641AAE" w:rsidRPr="001E6A19" w:rsidRDefault="00641AAE" w:rsidP="00641AA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bookmarkStart w:id="4" w:name="828"/>
                  <w:bookmarkEnd w:id="3"/>
                  <w:r w:rsidRPr="001E6A1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ЗК </w:t>
                  </w:r>
                </w:p>
              </w:tc>
              <w:bookmarkEnd w:id="4"/>
            </w:tr>
          </w:tbl>
          <w:p w14:paraId="13CCB458" w14:textId="77777777" w:rsidR="00ED24A1" w:rsidRPr="009D5541" w:rsidRDefault="00ED24A1" w:rsidP="0012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13" w:type="dxa"/>
          </w:tcPr>
          <w:tbl>
            <w:tblPr>
              <w:tblW w:w="9690" w:type="dxa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1"/>
              <w:gridCol w:w="5830"/>
              <w:gridCol w:w="1259"/>
            </w:tblGrid>
            <w:tr w:rsidR="00641AAE" w:rsidRPr="001E6A19" w14:paraId="2D7161C3" w14:textId="77777777" w:rsidTr="00641AAE">
              <w:trPr>
                <w:trHeight w:val="45"/>
                <w:tblCellSpacing w:w="0" w:type="auto"/>
              </w:trPr>
              <w:tc>
                <w:tcPr>
                  <w:tcW w:w="26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ED8EB24" w14:textId="77777777" w:rsidR="00641AAE" w:rsidRPr="00641AAE" w:rsidRDefault="00641AAE" w:rsidP="00641A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790 - 862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ФІКСОВАНА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РАДІОМОВНА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5.312 5.314 5.315 5.316 5.319 5.321 </w:t>
                  </w:r>
                </w:p>
              </w:tc>
              <w:tc>
                <w:tcPr>
                  <w:tcW w:w="58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C171C9" w14:textId="77777777" w:rsidR="00641AAE" w:rsidRPr="00641AAE" w:rsidRDefault="00641AAE" w:rsidP="00641AAE">
                  <w:pPr>
                    <w:spacing w:after="0"/>
                    <w:ind w:right="118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790 - 862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ФІКСОВАНА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bookmarkStart w:id="5" w:name="_Hlk10639738"/>
                  <w:r w:rsidRPr="00641AA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РУХОМА, за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винятком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повітряної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  <w:t>рухомої</w:t>
                  </w:r>
                  <w:bookmarkEnd w:id="5"/>
                  <w:proofErr w:type="spellEnd"/>
                </w:p>
                <w:p w14:paraId="4236FE37" w14:textId="77777777" w:rsidR="00641AAE" w:rsidRPr="00641AAE" w:rsidRDefault="00641AAE" w:rsidP="00641AAE">
                  <w:pPr>
                    <w:spacing w:after="0"/>
                    <w:ind w:right="1186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ПОВІТРЯНА РАДІОНАВІГАЦІЙНА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Рухома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супутникова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, за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винятком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повітряної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рухомої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супутникової</w:t>
                  </w:r>
                  <w:proofErr w:type="spellEnd"/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(Земля - космос)</w:t>
                  </w:r>
                  <w:r w:rsidRPr="00641AA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41A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У031 У036 У045 </w:t>
                  </w:r>
                </w:p>
              </w:tc>
              <w:tc>
                <w:tcPr>
                  <w:tcW w:w="125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2C367C9" w14:textId="77777777" w:rsidR="00641AAE" w:rsidRPr="001E6A19" w:rsidRDefault="00641AAE" w:rsidP="00641A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E6A19">
                    <w:rPr>
                      <w:rFonts w:ascii="Times New Roman" w:hAnsi="Times New Roman" w:cs="Times New Roman"/>
                      <w:color w:val="000000"/>
                    </w:rPr>
                    <w:t xml:space="preserve">ЗК </w:t>
                  </w:r>
                </w:p>
              </w:tc>
            </w:tr>
          </w:tbl>
          <w:p w14:paraId="2F2F4546" w14:textId="77777777" w:rsidR="00ED24A1" w:rsidRPr="009D5541" w:rsidRDefault="00ED24A1" w:rsidP="00641AAE">
            <w:pPr>
              <w:ind w:left="-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4470E" w:rsidRPr="004A4CA7" w14:paraId="7119D34E" w14:textId="77777777" w:rsidTr="00ED24A1">
        <w:tc>
          <w:tcPr>
            <w:tcW w:w="7650" w:type="dxa"/>
          </w:tcPr>
          <w:p w14:paraId="35D6A043" w14:textId="77777777" w:rsidR="0074470E" w:rsidRPr="009D5541" w:rsidRDefault="0074470E" w:rsidP="0012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13" w:type="dxa"/>
          </w:tcPr>
          <w:p w14:paraId="05CEFF03" w14:textId="77777777" w:rsidR="0074470E" w:rsidRPr="009D5541" w:rsidRDefault="0074470E" w:rsidP="0012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6541D" w:rsidRPr="004A4CA7" w14:paraId="20514893" w14:textId="77777777" w:rsidTr="00ED24A1">
        <w:tc>
          <w:tcPr>
            <w:tcW w:w="15163" w:type="dxa"/>
            <w:gridSpan w:val="2"/>
          </w:tcPr>
          <w:p w14:paraId="08AAECF6" w14:textId="23A44281" w:rsidR="00D6541D" w:rsidRPr="00ED24A1" w:rsidRDefault="00D6541D" w:rsidP="00120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2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 використання радіочастотного ресурсу України, затверджен</w:t>
            </w:r>
            <w:r w:rsidR="00ED2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ED2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постановою Кабінету Міністрів України від 9 червня 2006 р. № 815</w:t>
            </w:r>
          </w:p>
        </w:tc>
      </w:tr>
      <w:tr w:rsidR="00D6541D" w:rsidRPr="004A4CA7" w14:paraId="20F8033A" w14:textId="77777777" w:rsidTr="00ED24A1">
        <w:tc>
          <w:tcPr>
            <w:tcW w:w="7650" w:type="dxa"/>
          </w:tcPr>
          <w:p w14:paraId="1B0289C5" w14:textId="1751F63E" w:rsidR="00D6541D" w:rsidRPr="00CC6661" w:rsidRDefault="00D6541D" w:rsidP="00D65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636"/>
              <w:gridCol w:w="883"/>
              <w:gridCol w:w="684"/>
              <w:gridCol w:w="597"/>
              <w:gridCol w:w="785"/>
              <w:gridCol w:w="540"/>
              <w:gridCol w:w="1969"/>
              <w:gridCol w:w="450"/>
            </w:tblGrid>
            <w:tr w:rsidR="00D6541D" w:rsidRPr="00CC6661" w14:paraId="30AF7812" w14:textId="77777777" w:rsidTr="00D6541D">
              <w:tc>
                <w:tcPr>
                  <w:tcW w:w="592" w:type="pct"/>
                  <w:vMerge w:val="restart"/>
                  <w:hideMark/>
                </w:tcPr>
                <w:p w14:paraId="4B6C0CE1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22.1. Міжнародний рухомий (мобільний) зв'язок IMT</w:t>
                  </w:r>
                </w:p>
              </w:tc>
              <w:tc>
                <w:tcPr>
                  <w:tcW w:w="428" w:type="pct"/>
                  <w:hideMark/>
                </w:tcPr>
                <w:p w14:paraId="0B36E411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рухома</w:t>
                  </w:r>
                </w:p>
              </w:tc>
              <w:tc>
                <w:tcPr>
                  <w:tcW w:w="594" w:type="pct"/>
                  <w:hideMark/>
                </w:tcPr>
                <w:p w14:paraId="53D808DC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стільниковий радіозв'язок</w:t>
                  </w:r>
                </w:p>
              </w:tc>
              <w:tc>
                <w:tcPr>
                  <w:tcW w:w="461" w:type="pct"/>
                  <w:hideMark/>
                </w:tcPr>
                <w:p w14:paraId="21D8D1F7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LTE (та подальші релізи)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UMTS (та подальші релізи)</w:t>
                  </w:r>
                </w:p>
              </w:tc>
              <w:tc>
                <w:tcPr>
                  <w:tcW w:w="402" w:type="pct"/>
                  <w:hideMark/>
                </w:tcPr>
                <w:p w14:paraId="15FBB5BE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ETSI EN 301 908-1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13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301 908-14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TS 137 145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301 908-18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301 511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301 502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303 609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TS 145 005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302 480</w:t>
                  </w:r>
                </w:p>
              </w:tc>
              <w:tc>
                <w:tcPr>
                  <w:tcW w:w="529" w:type="pct"/>
                  <w:hideMark/>
                </w:tcPr>
                <w:p w14:paraId="7477F8A9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ITU-R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M.2012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M.687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M.817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M.1034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M.1035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M.1036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M.1455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M.1457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(06)13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рішення ЄК 2009/766/EC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2011/251/EU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(06)07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рішення ЄК 2008/294/EC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2013/654/EU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(EU) 2016/2317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рекомендація ЄК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2008/295/EC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(08)08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рішення ЄК 2010/166/EU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(EU) 2017/191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рекомендація ЄК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2010/167/EC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резолюція 223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(ВКР-15)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ECC/REC/ (08)02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040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041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082</w:t>
                  </w:r>
                </w:p>
              </w:tc>
              <w:tc>
                <w:tcPr>
                  <w:tcW w:w="364" w:type="pct"/>
                  <w:hideMark/>
                </w:tcPr>
                <w:p w14:paraId="398B65E7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1710 - 1785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1805 - 1880 МГц</w:t>
                  </w:r>
                </w:p>
              </w:tc>
              <w:tc>
                <w:tcPr>
                  <w:tcW w:w="1326" w:type="pct"/>
                  <w:hideMark/>
                </w:tcPr>
                <w:p w14:paraId="33D12829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смуги радіочастот 1710 - 1785 МГц, 1805 - 1880 МГц є парними. Використання РЕЗ на борту повітряних та морських суден здійснюється відповідно до рекомендацій ЄС 2008/295/EC, 2010/167/EC і згідно з технічними та експлуатаційними вимогами, визначеними у рішеннях ЄК 2008/294/EC, 2013/654/EU, (EU) 2016/2317, 2010/166/EU, (EU) 2017/191.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Базові станції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пікосот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(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Pico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BTS) та архітектури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Home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eNode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 xml:space="preserve">B із потужністю випромінювання до 200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мВт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використовуються всередині приміщень відповідно до Б01 за умови роботи цієї базової станції під управлінням мережі оператора стільникового зв'язку, що має відповідну ліцензію.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Смуги радіочастот можуть використовуватися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радіотехнологією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"Міжнародний рухомий (мобільний) зв'язок IMT" та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радіотехнологією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"Цифровий стільниковий радіозв'язок GSM-1800" за умови видачі ліцензій на користування радіочастотним ресурсом у цьому діапазоні на конкурсних або тендерних засадах із початком дії таких ліцензій з 1 липня 2018 року.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З метою захисту прав споживачів умови конкурсу або тендера на отримання ліцензій на користування радіочастотним ресурсом у цих смугах повинні передбачати можливість забезпечення безперервності надання телекомунікаційних послуг споживачам діючими користувачами у межах певних смуг радіочастот, визначених Національною комісією, що здійснює державне регулювання у сфері зв'язку та інформатизації, за участю цих користувачів Л01, Д01</w:t>
                  </w:r>
                </w:p>
              </w:tc>
              <w:tc>
                <w:tcPr>
                  <w:tcW w:w="303" w:type="pct"/>
                  <w:hideMark/>
                </w:tcPr>
                <w:p w14:paraId="79FE6D2E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D6541D" w:rsidRPr="00CC6661" w14:paraId="2449BBD0" w14:textId="77777777" w:rsidTr="00D6541D">
              <w:tc>
                <w:tcPr>
                  <w:tcW w:w="592" w:type="pct"/>
                  <w:vMerge/>
                  <w:hideMark/>
                </w:tcPr>
                <w:p w14:paraId="569E15D7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28" w:type="pct"/>
                  <w:hideMark/>
                </w:tcPr>
                <w:p w14:paraId="09B8C801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рухома, за винятком повітряної рухомої</w:t>
                  </w:r>
                </w:p>
              </w:tc>
              <w:tc>
                <w:tcPr>
                  <w:tcW w:w="594" w:type="pct"/>
                  <w:hideMark/>
                </w:tcPr>
                <w:p w14:paraId="10DD7B40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стільниковий радіозв'язок</w:t>
                  </w:r>
                </w:p>
              </w:tc>
              <w:tc>
                <w:tcPr>
                  <w:tcW w:w="461" w:type="pct"/>
                  <w:hideMark/>
                </w:tcPr>
                <w:p w14:paraId="1BCDF229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LTE (та подальші релізи)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UMTS (та подальші релізи)</w:t>
                  </w:r>
                </w:p>
              </w:tc>
              <w:tc>
                <w:tcPr>
                  <w:tcW w:w="402" w:type="pct"/>
                  <w:hideMark/>
                </w:tcPr>
                <w:p w14:paraId="46CFD34E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ETSI EN 301 908-1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301 908-14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301 908-18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TS 137 145</w:t>
                  </w:r>
                </w:p>
              </w:tc>
              <w:tc>
                <w:tcPr>
                  <w:tcW w:w="529" w:type="pct"/>
                  <w:hideMark/>
                </w:tcPr>
                <w:p w14:paraId="2DEA2AF5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ITU-R M.2012 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(05)05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ECC/REC/ (11)05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рішення ЄК 2008/477/EC</w:t>
                  </w:r>
                </w:p>
              </w:tc>
              <w:tc>
                <w:tcPr>
                  <w:tcW w:w="364" w:type="pct"/>
                  <w:hideMark/>
                </w:tcPr>
                <w:p w14:paraId="0B7EC7C2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2510 - 2545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2565 - 2570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2630 - 2665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2685 - 2690 МГц</w:t>
                  </w:r>
                </w:p>
              </w:tc>
              <w:tc>
                <w:tcPr>
                  <w:tcW w:w="1326" w:type="pct"/>
                  <w:hideMark/>
                </w:tcPr>
                <w:p w14:paraId="19C20D49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смуги радіочастот 2510 - 2545 МГц і 2630 - 2665 МГц, 2565 - 2570 МГц і 2685 - 2690 МГц є парними.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Використання смуг радіочастот 2630 - 2635 МГц і 2640 - 2660 МГц рухомою радіослужбою обмежено в Житомирській і Запорізькій областях умовами забезпечення електромагнітної сумісності з РЕЗ спеціального призначення. Базові станції архітектури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Home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eNode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B із потужністю випромінювання до 200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мВт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використовуються всередині приміщень відповідно до Б01 за умови роботи цієї базової станції під управлінням мережі оператора стільникового зв'язку, що має відповідну ліцензію.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Смуги радіочастот можуть використовуватися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радіотехнологією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"Міжнародний рухомий (мобільний) зв'язок IMT" та іншими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радіотехнологіями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з 1 січня 2018 р. за умови видачі ліцензій на користування радіочастотним ресурсом у цьому діапазоні на конкурсних або тендерних засадах після їх вивільнення існуючими користувачами Л01, Д01</w:t>
                  </w:r>
                </w:p>
              </w:tc>
              <w:tc>
                <w:tcPr>
                  <w:tcW w:w="303" w:type="pct"/>
                  <w:hideMark/>
                </w:tcPr>
                <w:p w14:paraId="448458A6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D6541D" w:rsidRPr="00CC6661" w14:paraId="17BD6B57" w14:textId="77777777" w:rsidTr="00D6541D">
              <w:tc>
                <w:tcPr>
                  <w:tcW w:w="592" w:type="pct"/>
                  <w:vMerge/>
                </w:tcPr>
                <w:p w14:paraId="3BB6D66E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28" w:type="pct"/>
                </w:tcPr>
                <w:p w14:paraId="704D18D1" w14:textId="5AEF8724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594" w:type="pct"/>
                </w:tcPr>
                <w:p w14:paraId="58BE087A" w14:textId="7A7E50D2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461" w:type="pct"/>
                </w:tcPr>
                <w:p w14:paraId="0D582895" w14:textId="6F891F2F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402" w:type="pct"/>
                </w:tcPr>
                <w:p w14:paraId="0A19A410" w14:textId="1572C8AC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529" w:type="pct"/>
                </w:tcPr>
                <w:p w14:paraId="14B7BBAD" w14:textId="2ADA581B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364" w:type="pct"/>
                </w:tcPr>
                <w:p w14:paraId="3D914922" w14:textId="0E6A9B74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1326" w:type="pct"/>
                </w:tcPr>
                <w:p w14:paraId="09AF6403" w14:textId="1F796028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  <w:tc>
                <w:tcPr>
                  <w:tcW w:w="303" w:type="pct"/>
                </w:tcPr>
                <w:p w14:paraId="289C8595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</w:tr>
          </w:tbl>
          <w:p w14:paraId="58CBA3A6" w14:textId="77777777" w:rsidR="00D6541D" w:rsidRPr="00CC6661" w:rsidRDefault="00D6541D" w:rsidP="00D6541D">
            <w:pPr>
              <w:rPr>
                <w:sz w:val="16"/>
                <w:szCs w:val="16"/>
              </w:rPr>
            </w:pPr>
          </w:p>
          <w:p w14:paraId="782E310B" w14:textId="65A07FD1" w:rsidR="00D6541D" w:rsidRPr="009D5541" w:rsidRDefault="00D6541D" w:rsidP="0012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13" w:type="dxa"/>
          </w:tcPr>
          <w:p w14:paraId="1B720567" w14:textId="3771D10F" w:rsidR="00D6541D" w:rsidRPr="00CC6661" w:rsidRDefault="00D6541D" w:rsidP="00D65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624"/>
              <w:gridCol w:w="866"/>
              <w:gridCol w:w="672"/>
              <w:gridCol w:w="586"/>
              <w:gridCol w:w="771"/>
              <w:gridCol w:w="530"/>
              <w:gridCol w:w="1933"/>
              <w:gridCol w:w="442"/>
            </w:tblGrid>
            <w:tr w:rsidR="00D6541D" w:rsidRPr="00CC6661" w14:paraId="222097AC" w14:textId="77777777" w:rsidTr="00D6541D">
              <w:tc>
                <w:tcPr>
                  <w:tcW w:w="592" w:type="pct"/>
                  <w:vMerge w:val="restart"/>
                  <w:hideMark/>
                </w:tcPr>
                <w:p w14:paraId="00460F79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22.1. Міжнародний рухомий (мобільний) зв'язок IMT</w:t>
                  </w:r>
                </w:p>
              </w:tc>
              <w:tc>
                <w:tcPr>
                  <w:tcW w:w="428" w:type="pct"/>
                  <w:hideMark/>
                </w:tcPr>
                <w:p w14:paraId="1ACC3A46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6" w:name="4105"/>
                  <w:bookmarkEnd w:id="6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рухома</w:t>
                  </w:r>
                </w:p>
              </w:tc>
              <w:tc>
                <w:tcPr>
                  <w:tcW w:w="594" w:type="pct"/>
                  <w:hideMark/>
                </w:tcPr>
                <w:p w14:paraId="27E45471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7" w:name="4106"/>
                  <w:bookmarkEnd w:id="7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стільниковий радіозв'язок</w:t>
                  </w:r>
                </w:p>
              </w:tc>
              <w:tc>
                <w:tcPr>
                  <w:tcW w:w="461" w:type="pct"/>
                  <w:hideMark/>
                </w:tcPr>
                <w:p w14:paraId="7D884013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8" w:name="4107"/>
                  <w:bookmarkEnd w:id="8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LTE (та подальші релізи)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UMTS (та подальші релізи)</w:t>
                  </w:r>
                </w:p>
              </w:tc>
              <w:tc>
                <w:tcPr>
                  <w:tcW w:w="402" w:type="pct"/>
                  <w:hideMark/>
                </w:tcPr>
                <w:p w14:paraId="6F0F0E9D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9" w:name="4108"/>
                  <w:bookmarkEnd w:id="9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ETSI EN 301 908-1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ETSI 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EN 301 908-13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301 908-14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TS 137 145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301 908-18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301 511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301 502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303 609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TS 145 005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302 480</w:t>
                  </w:r>
                </w:p>
              </w:tc>
              <w:tc>
                <w:tcPr>
                  <w:tcW w:w="529" w:type="pct"/>
                  <w:hideMark/>
                </w:tcPr>
                <w:p w14:paraId="2FB084AA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0" w:name="4109"/>
                  <w:bookmarkEnd w:id="10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ITU-R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M.2012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M.687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M.817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M.1034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M.1035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M.1036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M.1455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M.1457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(06)13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рішення ЄК 2009/766/EC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2011/251/EU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(06)07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рішення ЄК 2008/294/EC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2013/654/EU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(EU) 2016/2317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рекомендація ЄК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2008/295/EC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(08)08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рішення ЄК 2010/166/EU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(EU) 2017/191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рекомендація ЄК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2010/167/EC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резолюція 223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(ВКР-15)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ECC/REC/ (08)02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040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041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082</w:t>
                  </w:r>
                </w:p>
              </w:tc>
              <w:tc>
                <w:tcPr>
                  <w:tcW w:w="364" w:type="pct"/>
                  <w:hideMark/>
                </w:tcPr>
                <w:p w14:paraId="21DE2954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1" w:name="4110"/>
                  <w:bookmarkEnd w:id="11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1710 - 1785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1805 - 1880 МГц</w:t>
                  </w:r>
                </w:p>
              </w:tc>
              <w:tc>
                <w:tcPr>
                  <w:tcW w:w="1326" w:type="pct"/>
                  <w:hideMark/>
                </w:tcPr>
                <w:p w14:paraId="62E43E80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2" w:name="4111"/>
                  <w:bookmarkEnd w:id="12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смуги радіочастот 1710 - 1785 МГц, 1805 - 1880 МГц є парними. Використання РЕЗ на борту повітряних та морських суден здійснюється відповідно до рекомендацій ЄС 2008/295/EC, 2010/167/EC і згідно з технічними та експлуатаційними вимогами, визначеними у рішеннях ЄК 2008/294/EC, 2013/654/EU, (EU) 2016/2317, 2010/166/EU, (EU) 2017/191.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Базові станції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пікосот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(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Pico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BTS) та архітектури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Home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eNode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 xml:space="preserve">B із потужністю випромінювання до 200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мВт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використовуються всередині приміщень відповідно до Б01 за умови роботи цієї базової станції під управлінням мережі оператора стільникового зв'язку, що має відповідну ліцензію.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Смуги радіочастот можуть використовуватися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радіотехнологією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"Міжнародний рухомий (мобільний) зв'язок IMT" та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радіотехнологією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"Цифровий стільниковий радіозв'язок GSM-1800" за умови видачі ліцензій на користування радіочастотним ресурсом у цьому діапазоні на конкурсних або тендерних засадах із початком дії таких ліцензій з 1 липня 2018 року.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З метою захисту прав споживачів умови конкурсу або тендера на отримання ліцензій на користування радіочастотним ресурсом у цих смугах повинні передбачати можливість забезпечення безперервності надання телекомунікаційних послуг споживачам діючими користувачами у межах певних смуг радіочастот, визначених Національною комісією, що здійснює державне регулювання у сфері зв'язку та інформатизації, за 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lastRenderedPageBreak/>
                    <w:t>участю цих користувачів Л01, Д01</w:t>
                  </w:r>
                </w:p>
              </w:tc>
              <w:tc>
                <w:tcPr>
                  <w:tcW w:w="303" w:type="pct"/>
                  <w:hideMark/>
                </w:tcPr>
                <w:p w14:paraId="693E9D2C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D6541D" w:rsidRPr="00CC6661" w14:paraId="555339A2" w14:textId="77777777" w:rsidTr="00D6541D">
              <w:tc>
                <w:tcPr>
                  <w:tcW w:w="592" w:type="pct"/>
                  <w:vMerge/>
                  <w:hideMark/>
                </w:tcPr>
                <w:p w14:paraId="57677088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28" w:type="pct"/>
                  <w:hideMark/>
                </w:tcPr>
                <w:p w14:paraId="36550373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3" w:name="5145"/>
                  <w:bookmarkEnd w:id="13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рухома, за винятком повітряної рухомої</w:t>
                  </w:r>
                </w:p>
              </w:tc>
              <w:tc>
                <w:tcPr>
                  <w:tcW w:w="594" w:type="pct"/>
                  <w:hideMark/>
                </w:tcPr>
                <w:p w14:paraId="767217C9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4" w:name="5146"/>
                  <w:bookmarkEnd w:id="14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стільниковий радіозв'язок</w:t>
                  </w:r>
                </w:p>
              </w:tc>
              <w:tc>
                <w:tcPr>
                  <w:tcW w:w="461" w:type="pct"/>
                  <w:hideMark/>
                </w:tcPr>
                <w:p w14:paraId="12075F07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5" w:name="5147"/>
                  <w:bookmarkEnd w:id="15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LTE (та подальші релізи)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UMTS (та подальші релізи)</w:t>
                  </w:r>
                </w:p>
              </w:tc>
              <w:tc>
                <w:tcPr>
                  <w:tcW w:w="402" w:type="pct"/>
                  <w:hideMark/>
                </w:tcPr>
                <w:p w14:paraId="3FD53D53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6" w:name="5148"/>
                  <w:bookmarkEnd w:id="16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ETSI EN 301 908-1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301 908-13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301 908-14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EN 301 908-18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ETSI TS 137 145</w:t>
                  </w:r>
                </w:p>
              </w:tc>
              <w:tc>
                <w:tcPr>
                  <w:tcW w:w="529" w:type="pct"/>
                  <w:hideMark/>
                </w:tcPr>
                <w:p w14:paraId="729E7250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7" w:name="5149"/>
                  <w:bookmarkEnd w:id="17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ITU-R M.2012 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ECC/DEC/ (05)05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ECC/REC/ (11)05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рішення ЄК 2008/477/EC</w:t>
                  </w:r>
                </w:p>
              </w:tc>
              <w:tc>
                <w:tcPr>
                  <w:tcW w:w="364" w:type="pct"/>
                  <w:hideMark/>
                </w:tcPr>
                <w:p w14:paraId="43946D1C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8" w:name="5150"/>
                  <w:bookmarkEnd w:id="18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2510 - 2545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2565 - 2570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2630 - 2665 МГц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>2685 - 2690 МГц</w:t>
                  </w:r>
                </w:p>
              </w:tc>
              <w:tc>
                <w:tcPr>
                  <w:tcW w:w="1326" w:type="pct"/>
                  <w:hideMark/>
                </w:tcPr>
                <w:p w14:paraId="302AA35D" w14:textId="77777777" w:rsidR="00D6541D" w:rsidRPr="00CC6661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  <w:bookmarkStart w:id="19" w:name="5151"/>
                  <w:bookmarkEnd w:id="19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смуги радіочастот 2510 - 2545 МГц і 2630 - 2665 МГц, 2565 - 2570 МГц і 2685 - 2690 МГц є парними.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Використання смуг радіочастот 2630 - 2635 МГц і 2640 - 2660 МГц рухомою радіослужбою обмежено в Житомирській і Запорізькій областях умовами забезпечення електромагнітної сумісності з РЕЗ спеціального призначення. Базові станції архітектури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Home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eNode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B із потужністю випромінювання до 200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мВт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використовуються всередині приміщень відповідно до Б01 за умови роботи цієї базової станції під управлінням мережі оператора стільникового зв'язку, що має відповідну ліцензію.</w:t>
                  </w:r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br/>
                    <w:t xml:space="preserve">Смуги радіочастот можуть використовуватися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радіотехнологією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"Міжнародний рухомий (мобільний) зв'язок IMT" та іншими </w:t>
                  </w:r>
                  <w:proofErr w:type="spellStart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радіотехнологіями</w:t>
                  </w:r>
                  <w:proofErr w:type="spellEnd"/>
                  <w:r w:rsidRPr="00CC66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 xml:space="preserve"> з 1 січня 2018 р. за умови видачі ліцензій на користування радіочастотним ресурсом у цьому діапазоні на конкурсних або тендерних засадах після їх вивільнення існуючими користувачами Л01, Д01</w:t>
                  </w:r>
                </w:p>
              </w:tc>
              <w:tc>
                <w:tcPr>
                  <w:tcW w:w="303" w:type="pct"/>
                  <w:hideMark/>
                </w:tcPr>
                <w:p w14:paraId="6EC9F89B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D6541D" w:rsidRPr="00CC6661" w14:paraId="244CC7CE" w14:textId="77777777" w:rsidTr="00D6541D">
              <w:tc>
                <w:tcPr>
                  <w:tcW w:w="592" w:type="pct"/>
                  <w:vMerge/>
                </w:tcPr>
                <w:p w14:paraId="74D6E845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428" w:type="pct"/>
                </w:tcPr>
                <w:p w14:paraId="739998E6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рухома</w:t>
                  </w:r>
                </w:p>
              </w:tc>
              <w:tc>
                <w:tcPr>
                  <w:tcW w:w="594" w:type="pct"/>
                </w:tcPr>
                <w:p w14:paraId="668B96E1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 xml:space="preserve">стільниковий 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радіозв'язок</w:t>
                  </w:r>
                </w:p>
              </w:tc>
              <w:tc>
                <w:tcPr>
                  <w:tcW w:w="461" w:type="pct"/>
                </w:tcPr>
                <w:p w14:paraId="1428222A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 xml:space="preserve">LTE (та 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подальші релізи)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UMTS (та подальші релізи)</w:t>
                  </w:r>
                </w:p>
              </w:tc>
              <w:tc>
                <w:tcPr>
                  <w:tcW w:w="402" w:type="pct"/>
                </w:tcPr>
                <w:p w14:paraId="62B3525D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 xml:space="preserve">ETSI TS 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145 005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ETSI EN 301 908-18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ETSI EN 301 511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ETSI EN 301 502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ETSI EN 303 609</w:t>
                  </w:r>
                </w:p>
              </w:tc>
              <w:tc>
                <w:tcPr>
                  <w:tcW w:w="529" w:type="pct"/>
                </w:tcPr>
                <w:p w14:paraId="146BA0F7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ITU-R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M.2012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M.687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M.817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M.1034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M.1035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M.1036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M.1455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M.1457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ECC/DEC/ (06)13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рішення ЄК 2009/766/EC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2011/251/EU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ECC/DEC/ (06)07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рішення ЄК 2008/294/EC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2013/654/EU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(EU) 2016/2317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рекомендація ЄК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2008/295/EC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ECC/DEC/ (08)08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рішення ЄК 2010/166/EU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(EU) 2017/191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рекомендація ЄК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2010/167/EC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резолюція 223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(ВКР-15)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ECC/REC/ (08)02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 xml:space="preserve"> 040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 xml:space="preserve"> 041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 xml:space="preserve">ECC </w:t>
                  </w:r>
                  <w:proofErr w:type="spellStart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Rep</w:t>
                  </w:r>
                  <w:proofErr w:type="spellEnd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 xml:space="preserve"> 082</w:t>
                  </w:r>
                </w:p>
              </w:tc>
              <w:tc>
                <w:tcPr>
                  <w:tcW w:w="364" w:type="pct"/>
                </w:tcPr>
                <w:p w14:paraId="000ADBC8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 xml:space="preserve">790 – 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862 МГц</w:t>
                  </w:r>
                </w:p>
                <w:p w14:paraId="3B9E360A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824,07 - 831,63 МГц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869,07 - 876,63 МГц</w:t>
                  </w:r>
                </w:p>
                <w:p w14:paraId="3F8BE1D2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840,45 - 842,97 МГц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885,45 - 887,97 МГц</w:t>
                  </w:r>
                </w:p>
                <w:p w14:paraId="746301A3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831,63 - 835,40 МГц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876,63 - 880,40 МГц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>835,41 - 840,45 МГц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br/>
                    <w:t xml:space="preserve">880,41 - 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>885,45 МГц</w:t>
                  </w:r>
                </w:p>
                <w:p w14:paraId="1542CDF1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890 - 915 МГц</w:t>
                  </w:r>
                </w:p>
                <w:p w14:paraId="3EE3569D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935 - 960 МГц</w:t>
                  </w:r>
                </w:p>
              </w:tc>
              <w:tc>
                <w:tcPr>
                  <w:tcW w:w="1326" w:type="pct"/>
                </w:tcPr>
                <w:p w14:paraId="327EAA7D" w14:textId="77777777" w:rsidR="00D6541D" w:rsidRPr="00D6541D" w:rsidRDefault="00D6541D" w:rsidP="00D6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</w:pP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 xml:space="preserve">Смуги радіочастот можуть </w:t>
                  </w:r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lastRenderedPageBreak/>
                    <w:t xml:space="preserve">використовуватися </w:t>
                  </w:r>
                  <w:proofErr w:type="spellStart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>радіотехнологіями</w:t>
                  </w:r>
                  <w:proofErr w:type="spellEnd"/>
                  <w:r w:rsidRPr="00D6541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uk-UA"/>
                    </w:rPr>
                    <w:t xml:space="preserve"> Цифровий стільниковий радіозв'язок IMT-2000 (UMTS), Міжнародний рухомий (мобільний) зв'язок IMT та Цифровий стільниковий радіозв'язок GSM-900 за умови видачі ліцензій на користування радіочастотним ресурсом у цих діапазонах на загальних засадах із початком дії таких ліцензій з 1 січня 2020 року.</w:t>
                  </w:r>
                </w:p>
              </w:tc>
              <w:tc>
                <w:tcPr>
                  <w:tcW w:w="303" w:type="pct"/>
                </w:tcPr>
                <w:p w14:paraId="405F5500" w14:textId="77777777" w:rsidR="00D6541D" w:rsidRPr="00CC6661" w:rsidRDefault="00D6541D" w:rsidP="00D6541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uk-UA"/>
                    </w:rPr>
                  </w:pPr>
                </w:p>
              </w:tc>
            </w:tr>
          </w:tbl>
          <w:p w14:paraId="3099E568" w14:textId="77777777" w:rsidR="00D6541D" w:rsidRPr="00CC6661" w:rsidRDefault="00D6541D" w:rsidP="00D6541D">
            <w:pPr>
              <w:rPr>
                <w:sz w:val="16"/>
                <w:szCs w:val="16"/>
              </w:rPr>
            </w:pPr>
          </w:p>
          <w:p w14:paraId="1F1C6FC1" w14:textId="77777777" w:rsidR="00D6541D" w:rsidRPr="00AE7515" w:rsidRDefault="00D6541D" w:rsidP="00120A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E8B9534" w14:textId="62114A2E" w:rsidR="009B2C81" w:rsidRDefault="009B2C81"/>
    <w:p w14:paraId="590D4F03" w14:textId="77777777" w:rsidR="0074470E" w:rsidRDefault="0074470E" w:rsidP="007447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E9D1D4C" w14:textId="4D3ABA79" w:rsidR="0074470E" w:rsidRPr="009D5541" w:rsidRDefault="0074470E" w:rsidP="007447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D55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 _______________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</w:t>
      </w:r>
      <w:r w:rsidRPr="009D55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14:paraId="1C79EC71" w14:textId="77777777" w:rsidR="0074470E" w:rsidRDefault="0074470E" w:rsidP="0074470E">
      <w:pPr>
        <w:rPr>
          <w:rFonts w:ascii="Times New Roman" w:hAnsi="Times New Roman" w:cs="Times New Roman"/>
          <w:sz w:val="24"/>
          <w:szCs w:val="24"/>
        </w:rPr>
      </w:pPr>
    </w:p>
    <w:p w14:paraId="4C57A2CC" w14:textId="77777777" w:rsidR="0074470E" w:rsidRDefault="0074470E"/>
    <w:sectPr w:rsidR="0074470E" w:rsidSect="00D6541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366B"/>
    <w:multiLevelType w:val="hybridMultilevel"/>
    <w:tmpl w:val="EFB0EB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E3"/>
    <w:rsid w:val="00091B1A"/>
    <w:rsid w:val="000E3B69"/>
    <w:rsid w:val="00641AAE"/>
    <w:rsid w:val="0074470E"/>
    <w:rsid w:val="009B2C81"/>
    <w:rsid w:val="00C67598"/>
    <w:rsid w:val="00C85494"/>
    <w:rsid w:val="00D6541D"/>
    <w:rsid w:val="00E765E3"/>
    <w:rsid w:val="00E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E00C"/>
  <w15:chartTrackingRefBased/>
  <w15:docId w15:val="{59139B11-7F38-4A11-B5A0-83D4E30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74470E"/>
  </w:style>
  <w:style w:type="paragraph" w:styleId="a4">
    <w:name w:val="List Paragraph"/>
    <w:basedOn w:val="a"/>
    <w:uiPriority w:val="34"/>
    <w:qFormat/>
    <w:rsid w:val="00641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08-200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5799</Words>
  <Characters>3306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Glib Schegol</cp:lastModifiedBy>
  <cp:revision>7</cp:revision>
  <cp:lastPrinted>2019-06-06T06:50:00Z</cp:lastPrinted>
  <dcterms:created xsi:type="dcterms:W3CDTF">2019-06-05T09:00:00Z</dcterms:created>
  <dcterms:modified xsi:type="dcterms:W3CDTF">2019-06-06T06:50:00Z</dcterms:modified>
</cp:coreProperties>
</file>